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年全市一般公共预算支出执行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spacing w:line="600" w:lineRule="exact"/>
        <w:ind w:firstLine="320" w:firstLineChars="200"/>
        <w:rPr>
          <w:rFonts w:hint="eastAsia" w:ascii="仿宋_GB2312" w:hAnsi="华文中宋" w:eastAsia="仿宋_GB2312"/>
          <w:sz w:val="16"/>
          <w:szCs w:val="32"/>
        </w:rPr>
      </w:pP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年，面对刚性支出增加、政府偿债压力加大等困难，统筹安排各类资金，积极争取上级政策和资金支持，坚持增收节支，集中财力支持经济发展和持续改善民生，积极加快支出进度，提高支出均衡性。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市十六届人大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次会议批准的202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年全市一般公共预算支出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预算数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555107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综合平衡一般公共预算调入资金和年度执行中新增上级补助资金后，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支出预算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调整为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596000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万元，实际完成5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998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万元，为调整预算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100.0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%，同比增长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%。全市一般公共预算支出主要项目完成情况：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一般公共服务支出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50697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增长1.5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公共安全支出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27802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增长12.3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教育支出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140795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增长6.6%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科学技术支出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15682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39.0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文化旅游体育与传媒支出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5721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34.0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社会保障和就业支出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91981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下降13.8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卫生健康支出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67626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62.1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节能环保支出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11725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下降21.7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城乡社区支出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39469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25.6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农林水支出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83912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交通运输支出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17851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33.5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资源勘探信息等支出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5270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43.1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商业服务业等支出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1858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增长185.4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t>自然资源海洋气象等支出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  <w:lang w:val="en-US" w:eastAsia="zh-CN"/>
        </w:rPr>
        <w:t>6082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增长48.7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住房保障支出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16575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下降25.1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粮油物资储备支出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1548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增长49.3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</w:t>
      </w:r>
    </w:p>
    <w:p>
      <w:pPr>
        <w:pStyle w:val="3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1487603D"/>
    <w:rsid w:val="10CB1FF5"/>
    <w:rsid w:val="1487603D"/>
    <w:rsid w:val="2D9829DE"/>
    <w:rsid w:val="4BD0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autoRedefine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688</Characters>
  <Lines>0</Lines>
  <Paragraphs>0</Paragraphs>
  <TotalTime>4</TotalTime>
  <ScaleCrop>false</ScaleCrop>
  <LinksUpToDate>false</LinksUpToDate>
  <CharactersWithSpaces>688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2023-02-14T08:10:00Z</dcterms:created>
  <dc:creator>Administrator</dc:creator>
  <cp:lastModifiedBy>高瑛焓</cp:lastModifiedBy>
  <dcterms:modified xsi:type="dcterms:W3CDTF">2024-02-19T03:05:32Z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CEBF976077DF409D97CBD7B8E8C9C289_13</vt:lpwstr>
  </property>
</Properties>
</file>