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年全市一般公共预算收入执行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spacing w:line="580" w:lineRule="exact"/>
        <w:ind w:firstLine="640" w:firstLineChars="200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Times New Roman" w:eastAsia="仿宋_GB2312"/>
          <w:sz w:val="32"/>
          <w:szCs w:val="32"/>
          <w:highlight w:val="none"/>
        </w:rPr>
        <w:t>202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年，面对复杂严峻的经济社会发展形势，在市委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的正确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领导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和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市人大、市政协的监督指导下，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以习近平新时代中国特色社会主义思想为指导，全面贯彻党的二十大精神，认真落实习近平总书记对河南工作的重要指示要求，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坚持稳中求进工作总基调，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扎实做好“六稳”工作，全面落实“三保”任务，稳住经济基本盘，</w:t>
      </w:r>
      <w:r>
        <w:rPr>
          <w:rFonts w:hint="eastAsia" w:ascii="仿宋_GB2312" w:hAnsi="Times New Roman" w:eastAsia="仿宋_GB2312"/>
          <w:sz w:val="32"/>
          <w:szCs w:val="32"/>
          <w:highlight w:val="none"/>
        </w:rPr>
        <w:t>强化政策落实和预算约束，千方百计抓收入、强调度，财政预算执行总体平稳，有力促进全市经济持续稳定发展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市十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届人大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三次</w:t>
      </w:r>
      <w:r>
        <w:rPr>
          <w:rFonts w:hint="eastAsia" w:ascii="仿宋_GB2312" w:hAnsi="仿宋_GB2312" w:eastAsia="仿宋_GB2312" w:cs="仿宋_GB2312"/>
          <w:sz w:val="32"/>
          <w:szCs w:val="32"/>
        </w:rPr>
        <w:t>会议批准的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年全市一般公共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预算数</w:t>
      </w:r>
      <w:r>
        <w:rPr>
          <w:rFonts w:hint="eastAsia" w:ascii="仿宋_GB2312" w:hAnsi="仿宋_GB2312" w:eastAsia="仿宋_GB2312" w:cs="仿宋_GB2312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335600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万元，实际完成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335669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数</w:t>
      </w:r>
      <w:r>
        <w:rPr>
          <w:rFonts w:hint="eastAsia" w:ascii="仿宋_GB2312" w:hAnsi="仿宋_GB2312" w:eastAsia="仿宋_GB2312" w:cs="仿宋_GB2312"/>
          <w:sz w:val="32"/>
          <w:szCs w:val="32"/>
        </w:rPr>
        <w:t>的10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比去年同期305066万元增加30603万元，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%。全市一般公共预算收入结构是：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29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pacing w:val="-17"/>
          <w:sz w:val="32"/>
          <w:szCs w:val="32"/>
          <w:highlight w:val="none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税收收入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268907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12.7</w:t>
      </w:r>
      <w:r>
        <w:rPr>
          <w:rFonts w:hint="eastAsia" w:ascii="仿宋_GB2312" w:hAnsi="仿宋_GB2312" w:eastAsia="仿宋_GB2312" w:cs="仿宋_GB2312"/>
          <w:sz w:val="32"/>
          <w:szCs w:val="32"/>
        </w:rPr>
        <w:t>%，占一般公共预算收入的比重为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80.1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%。其中：增值税、企业所得税、个人所得税、资源税、城市维护建设税等主体税种完成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174713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与上年持平</w:t>
      </w:r>
      <w:r>
        <w:rPr>
          <w:rFonts w:hint="eastAsia" w:ascii="仿宋_GB2312" w:hAnsi="仿宋_GB2312" w:eastAsia="仿宋_GB2312" w:cs="仿宋_GB2312"/>
          <w:sz w:val="32"/>
          <w:szCs w:val="32"/>
        </w:rPr>
        <w:t>；房产税、印花税、城镇土地使用税、土地增值税、车船税、耕地占用税、契税、烟叶税、环境保护税等小税种完成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94194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49.3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4" w:firstLineChars="229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spacing w:val="-17"/>
          <w:sz w:val="32"/>
          <w:szCs w:val="32"/>
          <w:highlight w:val="none"/>
          <w:lang w:eastAsia="zh-CN"/>
        </w:rPr>
        <w:t>——</w:t>
      </w:r>
      <w:r>
        <w:rPr>
          <w:rFonts w:hint="eastAsia" w:ascii="仿宋_GB2312" w:hAnsi="仿宋_GB2312" w:eastAsia="仿宋_GB2312" w:cs="仿宋_GB2312"/>
          <w:sz w:val="32"/>
          <w:szCs w:val="32"/>
        </w:rPr>
        <w:t>非税收入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66762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0.3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434105B0"/>
    <w:rsid w:val="30F15BD9"/>
    <w:rsid w:val="3C0061C0"/>
    <w:rsid w:val="4341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2023-02-14T08:08:00Z</dcterms:created>
  <dc:creator>Administrator</dc:creator>
  <cp:lastModifiedBy>高瑛焓</cp:lastModifiedBy>
  <dcterms:modified xsi:type="dcterms:W3CDTF">2024-01-26T01:54:31Z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845A7E67D04848A29C677F866864D4C6_13</vt:lpwstr>
  </property>
</Properties>
</file>