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年市本级一般公共预算支出执行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200"/>
        <w:textAlignment w:val="auto"/>
        <w:outlineLvl w:val="9"/>
        <w:rPr>
          <w:rFonts w:hint="eastAsia" w:ascii="仿宋_GB2312" w:hAnsi="华文中宋" w:eastAsia="仿宋_GB2312"/>
          <w:sz w:val="16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??" w:eastAsia="仿宋_GB2312"/>
          <w:color w:val="000000"/>
          <w:sz w:val="32"/>
          <w:szCs w:val="32"/>
          <w:highlight w:val="none"/>
        </w:rPr>
        <w:t>市十六届人大</w:t>
      </w:r>
      <w:r>
        <w:rPr>
          <w:rFonts w:hint="eastAsia" w:ascii="仿宋_GB2312" w:hAnsi="??" w:eastAsia="仿宋_GB2312"/>
          <w:color w:val="000000"/>
          <w:sz w:val="32"/>
          <w:szCs w:val="32"/>
          <w:highlight w:val="none"/>
          <w:lang w:eastAsia="zh-CN"/>
        </w:rPr>
        <w:t>三</w:t>
      </w:r>
      <w:r>
        <w:rPr>
          <w:rFonts w:hint="eastAsia" w:ascii="仿宋_GB2312" w:hAnsi="??" w:eastAsia="仿宋_GB2312"/>
          <w:color w:val="000000"/>
          <w:sz w:val="32"/>
          <w:szCs w:val="32"/>
          <w:highlight w:val="none"/>
        </w:rPr>
        <w:t>次会议批准的202</w:t>
      </w:r>
      <w:r>
        <w:rPr>
          <w:rFonts w:hint="eastAsia" w:ascii="仿宋_GB2312" w:hAnsi="??" w:eastAsia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??" w:eastAsia="仿宋_GB2312"/>
          <w:color w:val="000000"/>
          <w:sz w:val="32"/>
          <w:szCs w:val="32"/>
          <w:highlight w:val="none"/>
        </w:rPr>
        <w:t>年市本级一般公共预算支出</w:t>
      </w:r>
      <w:r>
        <w:rPr>
          <w:rFonts w:hint="eastAsia" w:ascii="仿宋_GB2312" w:hAnsi="??" w:eastAsia="仿宋_GB2312"/>
          <w:color w:val="000000"/>
          <w:sz w:val="32"/>
          <w:szCs w:val="32"/>
          <w:highlight w:val="none"/>
          <w:lang w:eastAsia="zh-CN"/>
        </w:rPr>
        <w:t>预算数</w:t>
      </w:r>
      <w:r>
        <w:rPr>
          <w:rFonts w:hint="eastAsia" w:ascii="仿宋_GB2312" w:hAnsi="??" w:eastAsia="仿宋_GB2312"/>
          <w:color w:val="000000"/>
          <w:sz w:val="32"/>
          <w:szCs w:val="32"/>
          <w:highlight w:val="none"/>
        </w:rPr>
        <w:t>为</w:t>
      </w:r>
      <w:r>
        <w:rPr>
          <w:rFonts w:hint="eastAsia" w:ascii="仿宋_GB2312" w:hAnsi="??" w:eastAsia="仿宋_GB2312"/>
          <w:color w:val="000000"/>
          <w:sz w:val="32"/>
          <w:szCs w:val="32"/>
          <w:highlight w:val="none"/>
          <w:lang w:val="en-US" w:eastAsia="zh-CN"/>
        </w:rPr>
        <w:t>497096</w:t>
      </w:r>
      <w:r>
        <w:rPr>
          <w:rFonts w:hint="eastAsia" w:ascii="仿宋_GB2312" w:hAnsi="??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实际完成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512950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3.2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%。市本级一般公共预算支出主要项目完成情况是：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——一般公共服务支出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13554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增长8.6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——公共安全支出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27776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增长12.2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——教育支出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140721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增长6.7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——科学技术支出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15682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39.0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——文化旅游体育与传媒支出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5523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26.7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——社会保障和就业支出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87585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下降16.0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——卫生健康支出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66460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62.5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——节能环保支出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11276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下降23.7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——城乡社区支出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3261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下降86.2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——农林水支出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82469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——交通运输支出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17822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33.2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——资源勘探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工业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信息等支出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5200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31.5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——商业服务业等支出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1809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增长190.4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自然资源海洋气象等支出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  <w:lang w:val="en-US" w:eastAsia="zh-CN"/>
        </w:rPr>
        <w:t>6082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  <w:lang w:val="en-US" w:eastAsia="zh-CN"/>
        </w:rPr>
        <w:t>增长48.7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——住房保障支出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14865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下降22.7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——粮油物资储备支出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1548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增长49.3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——灾害防治及应急管理支出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4313万元，同比增长32.9%。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textAlignment w:val="auto"/>
        <w:outlineLvl w:val="9"/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60A4196F"/>
    <w:rsid w:val="043A7135"/>
    <w:rsid w:val="06940F6E"/>
    <w:rsid w:val="14F027B2"/>
    <w:rsid w:val="320269B4"/>
    <w:rsid w:val="4E5E3D22"/>
    <w:rsid w:val="583B71BB"/>
    <w:rsid w:val="60A4196F"/>
    <w:rsid w:val="6BAF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2023-02-14T08:11:00Z</dcterms:created>
  <dc:creator>Administrator</dc:creator>
  <cp:lastModifiedBy>高瑛焓</cp:lastModifiedBy>
  <dcterms:modified xsi:type="dcterms:W3CDTF">2024-01-26T02:18:49Z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48590D2586F2406481CFF09FEFB45FC4_13</vt:lpwstr>
  </property>
</Properties>
</file>