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年市本级一般公共预算收入执行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200"/>
        <w:textAlignment w:val="auto"/>
        <w:outlineLvl w:val="9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市十六届人大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次会议批准的202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年市本级一般公共预算收入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205683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193755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万元，比去年同期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188369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5386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%。市本级一般公共预算收入结构：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——税收收入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133847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增长7.0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%。其中：增值税、企业所得税、个人所得税、资源税、城市维护建设税等主体税种完成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下降27.2%</w:t>
      </w:r>
      <w:r>
        <w:rPr>
          <w:rFonts w:hint="eastAsia" w:ascii="仿宋_GB2312" w:hAnsi="仿宋_GB2312" w:eastAsia="仿宋_GB2312" w:cs="仿宋_GB2312"/>
          <w:sz w:val="32"/>
          <w:szCs w:val="32"/>
        </w:rPr>
        <w:t>；房产税、印花税、城镇土地使用税、土地增值税、车船税、耕地占用税、契税、烟叶税、环境保护税等小税种完成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66299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增长105.9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——非税收入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59908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5.4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609F59FD"/>
    <w:rsid w:val="1221465E"/>
    <w:rsid w:val="5BEA7C5C"/>
    <w:rsid w:val="609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2023-02-14T08:10:00Z</dcterms:created>
  <dc:creator>Administrator</dc:creator>
  <cp:lastModifiedBy>高瑛焓</cp:lastModifiedBy>
  <dcterms:modified xsi:type="dcterms:W3CDTF">2024-01-26T01:56:13Z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246A16B9D00A46E8B3ECF29ED9806598_13</vt:lpwstr>
  </property>
</Properties>
</file>