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年市本级一般公共预算收入预算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pStyle w:val="2"/>
        <w:spacing w:line="60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年，市本级一般公共预算收入</w:t>
      </w:r>
      <w:r>
        <w:rPr>
          <w:rFonts w:hint="eastAsia" w:ascii="仿宋_GB2312" w:eastAsia="仿宋_GB2312"/>
          <w:sz w:val="32"/>
          <w:szCs w:val="32"/>
          <w:lang w:eastAsia="zh-CN"/>
        </w:rPr>
        <w:t>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210080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比上年完成</w:t>
      </w:r>
      <w:r>
        <w:rPr>
          <w:rFonts w:hint="eastAsia" w:ascii="仿宋_GB2312" w:eastAsia="仿宋_GB2312"/>
          <w:sz w:val="32"/>
          <w:szCs w:val="32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16325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8.4</w:t>
      </w:r>
      <w:r>
        <w:rPr>
          <w:rFonts w:hint="eastAsia" w:ascii="仿宋_GB2312" w:eastAsia="仿宋_GB2312"/>
          <w:sz w:val="32"/>
          <w:szCs w:val="32"/>
        </w:rPr>
        <w:t>%。市本级一般公共预算收入加上上级补助、上年结余、乡镇（街道）上解和</w:t>
      </w:r>
      <w:r>
        <w:rPr>
          <w:rFonts w:hint="eastAsia" w:ascii="仿宋_GB2312" w:eastAsia="仿宋_GB2312"/>
          <w:sz w:val="32"/>
          <w:szCs w:val="32"/>
          <w:highlight w:val="none"/>
        </w:rPr>
        <w:t>调入资金等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378777</w:t>
      </w:r>
      <w:r>
        <w:rPr>
          <w:rFonts w:hint="eastAsia" w:ascii="仿宋_GB2312" w:eastAsia="仿宋_GB2312"/>
          <w:sz w:val="32"/>
          <w:szCs w:val="32"/>
          <w:highlight w:val="none"/>
        </w:rPr>
        <w:t>万元，收入总计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588857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市本级一般公共预算收入结构是：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——税收收入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138480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比上年完成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4633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——非税收入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71600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比上年完成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11692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增长1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358F1978"/>
    <w:rsid w:val="273242DE"/>
    <w:rsid w:val="358F1978"/>
    <w:rsid w:val="57AB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2023-02-14T08:13:00Z</dcterms:created>
  <dc:creator>Administrator</dc:creator>
  <cp:lastModifiedBy>高瑛焓</cp:lastModifiedBy>
  <dcterms:modified xsi:type="dcterms:W3CDTF">2024-01-26T02:00:34Z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3EB01F099A134016B9FBB6FE7156669B_13</vt:lpwstr>
  </property>
</Properties>
</file>