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关于202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  <w:lang w:val="en-US" w:eastAsia="zh-CN"/>
        </w:rPr>
        <w:t>3</w:t>
      </w: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年全市政府性基金支出执行</w:t>
      </w:r>
    </w:p>
    <w:p>
      <w:pPr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情况的说明</w:t>
      </w:r>
    </w:p>
    <w:p>
      <w:pPr>
        <w:spacing w:line="600" w:lineRule="exact"/>
        <w:ind w:firstLine="320" w:firstLineChars="200"/>
        <w:rPr>
          <w:rFonts w:hint="eastAsia" w:ascii="仿宋_GB2312" w:hAnsi="华文中宋" w:eastAsia="仿宋_GB2312"/>
          <w:sz w:val="16"/>
          <w:szCs w:val="32"/>
        </w:rPr>
      </w:pP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市十六届人大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三</w:t>
      </w:r>
      <w:r>
        <w:rPr>
          <w:rFonts w:hint="eastAsia" w:ascii="仿宋_GB2312" w:hAnsi="仿宋_GB2312" w:eastAsia="仿宋_GB2312" w:cs="仿宋_GB2312"/>
          <w:sz w:val="32"/>
          <w:szCs w:val="32"/>
        </w:rPr>
        <w:t>次会议批准的202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年政府性基金支出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预算数</w:t>
      </w:r>
      <w:r>
        <w:rPr>
          <w:rFonts w:hint="eastAsia" w:ascii="仿宋_GB2312" w:hAnsi="仿宋_GB2312" w:eastAsia="仿宋_GB2312" w:cs="仿宋_GB2312"/>
          <w:sz w:val="32"/>
          <w:szCs w:val="32"/>
        </w:rPr>
        <w:t>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319365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执行中因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当年收到上级专项债券和土地出让收入减少等因素，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实</w:t>
      </w:r>
      <w:r>
        <w:rPr>
          <w:rFonts w:hint="eastAsia" w:ascii="仿宋_GB2312" w:hAnsi="仿宋_GB2312" w:eastAsia="仿宋_GB2312" w:cs="仿宋_GB2312"/>
          <w:sz w:val="32"/>
          <w:szCs w:val="32"/>
        </w:rPr>
        <w:t>际完成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368066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万元，同比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下降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0.7</w:t>
      </w:r>
      <w:r>
        <w:rPr>
          <w:rFonts w:hint="eastAsia" w:ascii="仿宋_GB2312" w:hAnsi="仿宋_GB2312" w:eastAsia="仿宋_GB2312" w:cs="仿宋_GB2312"/>
          <w:sz w:val="32"/>
          <w:szCs w:val="32"/>
        </w:rPr>
        <w:t>%。主要项目执行情况：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1、社会保障和就业支出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1624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万元，同比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下降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30.2</w:t>
      </w:r>
      <w:r>
        <w:rPr>
          <w:rFonts w:hint="eastAsia" w:ascii="仿宋_GB2312" w:hAnsi="仿宋_GB2312" w:eastAsia="仿宋_GB2312" w:cs="仿宋_GB2312"/>
          <w:sz w:val="32"/>
          <w:szCs w:val="32"/>
        </w:rPr>
        <w:t>%</w:t>
      </w:r>
      <w:r>
        <w:rPr>
          <w:rFonts w:hint="eastAsia" w:ascii="仿宋_GB2312" w:hAnsi="文星仿宋" w:eastAsia="仿宋_GB2312"/>
          <w:sz w:val="32"/>
          <w:szCs w:val="32"/>
        </w:rPr>
        <w:t>；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outlineLvl w:val="9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2、城乡社区支出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111170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万元，同比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下降33.9</w:t>
      </w:r>
      <w:r>
        <w:rPr>
          <w:rFonts w:hint="eastAsia" w:ascii="仿宋_GB2312" w:hAnsi="仿宋_GB2312" w:eastAsia="仿宋_GB2312" w:cs="仿宋_GB2312"/>
          <w:sz w:val="32"/>
          <w:szCs w:val="32"/>
        </w:rPr>
        <w:t>%。其中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</w:rPr>
        <w:t>国有土地使用权出让收入安排支出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109340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万元，同比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增长10.6</w:t>
      </w:r>
      <w:r>
        <w:rPr>
          <w:rFonts w:hint="eastAsia" w:ascii="仿宋_GB2312" w:hAnsi="仿宋_GB2312" w:eastAsia="仿宋_GB2312" w:cs="仿宋_GB2312"/>
          <w:sz w:val="32"/>
          <w:szCs w:val="32"/>
        </w:rPr>
        <w:t>%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；城市基础设施配套费安排支出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367万元，同比下降83.9%；污水处理费安排支出1463万元，同比下降47.0%。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3、其他支出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224267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万元，同比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增长28.8</w:t>
      </w:r>
      <w:r>
        <w:rPr>
          <w:rFonts w:hint="eastAsia" w:ascii="仿宋_GB2312" w:hAnsi="仿宋_GB2312" w:eastAsia="仿宋_GB2312" w:cs="仿宋_GB2312"/>
          <w:sz w:val="32"/>
          <w:szCs w:val="32"/>
        </w:rPr>
        <w:t>%，其中：其他政府性基金及对应专项债务收入安排的支出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223300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万元，同比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增长28.7</w:t>
      </w:r>
      <w:r>
        <w:rPr>
          <w:rFonts w:hint="eastAsia" w:ascii="仿宋_GB2312" w:hAnsi="仿宋_GB2312" w:eastAsia="仿宋_GB2312" w:cs="仿宋_GB2312"/>
          <w:sz w:val="32"/>
          <w:szCs w:val="32"/>
        </w:rPr>
        <w:t>%</w:t>
      </w:r>
      <w:r>
        <w:rPr>
          <w:rFonts w:hint="eastAsia" w:ascii="仿宋_GB2312" w:hAnsi="文星仿宋" w:eastAsia="仿宋_GB2312"/>
          <w:sz w:val="32"/>
          <w:szCs w:val="32"/>
        </w:rPr>
        <w:t>；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outlineLvl w:val="9"/>
        <w:rPr>
          <w:rFonts w:hint="eastAsia" w:ascii="仿宋_GB2312" w:hAnsi="文星仿宋" w:eastAsia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、债务付息支出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30960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万元，同比增长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18.8</w:t>
      </w:r>
      <w:r>
        <w:rPr>
          <w:rFonts w:hint="eastAsia" w:ascii="仿宋_GB2312" w:hAnsi="仿宋_GB2312" w:eastAsia="仿宋_GB2312" w:cs="仿宋_GB2312"/>
          <w:sz w:val="32"/>
          <w:szCs w:val="32"/>
        </w:rPr>
        <w:t>%</w:t>
      </w:r>
      <w:r>
        <w:rPr>
          <w:rFonts w:hint="eastAsia" w:ascii="仿宋_GB2312" w:hAnsi="文星仿宋" w:eastAsia="仿宋_GB2312"/>
          <w:sz w:val="32"/>
          <w:szCs w:val="32"/>
        </w:rPr>
        <w:t>。</w:t>
      </w:r>
    </w:p>
    <w:p>
      <w:pPr>
        <w:adjustRightInd w:val="0"/>
        <w:snapToGrid w:val="0"/>
        <w:spacing w:line="600" w:lineRule="exact"/>
        <w:ind w:firstLine="640" w:firstLineChars="200"/>
        <w:rPr>
          <w:rFonts w:hint="eastAsia" w:ascii="仿宋_GB2312" w:hAnsi="文星仿宋" w:eastAsia="仿宋_GB2312"/>
          <w:sz w:val="32"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文星仿宋">
    <w:altName w:val="宋体"/>
    <w:panose1 w:val="02010604000101010101"/>
    <w:charset w:val="86"/>
    <w:family w:val="auto"/>
    <w:pitch w:val="default"/>
    <w:sig w:usb0="00000000" w:usb1="00000000" w:usb2="0000001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ZkYjEzNDIyNjZhYzk1NmFhM2EzZDk3NDEzMTFlNDkifQ=="/>
  </w:docVars>
  <w:rsids>
    <w:rsidRoot w:val="4BB50816"/>
    <w:rsid w:val="1AE841FB"/>
    <w:rsid w:val="4BB508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99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autoRedefine/>
    <w:qFormat/>
    <w:uiPriority w:val="0"/>
    <w:rPr>
      <w:rFonts w:ascii="Times New Roman" w:hAnsi="Times New Roman"/>
      <w:sz w:val="30"/>
    </w:rPr>
  </w:style>
  <w:style w:type="paragraph" w:styleId="3">
    <w:name w:val="Body Text 2"/>
    <w:basedOn w:val="1"/>
    <w:autoRedefine/>
    <w:qFormat/>
    <w:uiPriority w:val="99"/>
    <w:pPr>
      <w:adjustRightInd w:val="0"/>
      <w:spacing w:line="360" w:lineRule="auto"/>
      <w:textAlignment w:val="baseline"/>
    </w:pPr>
    <w:rPr>
      <w:rFonts w:ascii="楷体_GB2312" w:eastAsia="楷体_GB2312" w:cs="楷体_GB2312"/>
      <w:kern w:val="44"/>
      <w:sz w:val="28"/>
      <w:szCs w:val="28"/>
    </w:rPr>
  </w:style>
  <w:style w:type="paragraph" w:customStyle="1" w:styleId="6">
    <w:name w:val="Normal Indent"/>
    <w:basedOn w:val="1"/>
    <w:autoRedefine/>
    <w:qFormat/>
    <w:uiPriority w:val="0"/>
    <w:pPr>
      <w:ind w:firstLine="420" w:firstLineChars="200"/>
    </w:pPr>
    <w:rPr>
      <w:rFonts w:ascii="Times New Roman" w:hAnsi="Times New Roman" w:eastAsia="宋体" w:cs="Times New Roma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2023-02-14T08:14:00Z</dcterms:created>
  <dc:creator>Administrator</dc:creator>
  <cp:lastModifiedBy>高瑛焓</cp:lastModifiedBy>
  <dcterms:modified xsi:type="dcterms:W3CDTF">2024-01-26T02:22:36Z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6EF0027E33494789BFB3F93C6D65FE8C</vt:lpwstr>
  </property>
</Properties>
</file>