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3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年全市政府性基金收入执行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pStyle w:val="2"/>
        <w:spacing w:line="600" w:lineRule="exact"/>
        <w:rPr>
          <w:rFonts w:hint="eastAsia"/>
        </w:rPr>
      </w:pPr>
    </w:p>
    <w:p>
      <w:pPr>
        <w:keepNext w:val="0"/>
        <w:keepLines w:val="0"/>
        <w:pageBreakBefore w:val="0"/>
        <w:widowControl w:val="0"/>
        <w:shd w:val="clear" w:color="03000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文星仿宋" w:eastAsia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市十六届人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大三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次会议批准的202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年政府性基金收入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预算数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456453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pacing w:val="0"/>
          <w:kern w:val="10"/>
          <w:sz w:val="32"/>
          <w:szCs w:val="32"/>
          <w:highlight w:val="none"/>
          <w:lang w:val="en-US" w:eastAsia="zh-CN"/>
        </w:rPr>
        <w:t>执行中</w:t>
      </w:r>
      <w:r>
        <w:rPr>
          <w:rFonts w:hint="eastAsia" w:ascii="仿宋_GB2312" w:hAnsi="仿宋_GB2312" w:eastAsia="仿宋_GB2312" w:cs="仿宋_GB2312"/>
          <w:spacing w:val="0"/>
          <w:kern w:val="10"/>
          <w:sz w:val="32"/>
          <w:szCs w:val="32"/>
          <w:highlight w:val="none"/>
        </w:rPr>
        <w:t>受</w:t>
      </w:r>
      <w:r>
        <w:rPr>
          <w:rFonts w:hint="eastAsia" w:ascii="仿宋_GB2312" w:hAnsi="仿宋_GB2312" w:eastAsia="仿宋_GB2312" w:cs="仿宋_GB2312"/>
          <w:spacing w:val="0"/>
          <w:kern w:val="10"/>
          <w:sz w:val="32"/>
          <w:szCs w:val="32"/>
          <w:highlight w:val="none"/>
          <w:lang w:eastAsia="zh-CN"/>
        </w:rPr>
        <w:t>房地产行业恢复不及预期</w:t>
      </w:r>
      <w:r>
        <w:rPr>
          <w:rFonts w:hint="eastAsia" w:ascii="仿宋_GB2312" w:hAnsi="仿宋_GB2312" w:eastAsia="仿宋_GB2312" w:cs="仿宋_GB2312"/>
          <w:spacing w:val="0"/>
          <w:kern w:val="10"/>
          <w:sz w:val="32"/>
          <w:szCs w:val="32"/>
          <w:highlight w:val="none"/>
        </w:rPr>
        <w:t>，</w:t>
      </w:r>
      <w:r>
        <w:rPr>
          <w:rFonts w:hint="eastAsia" w:ascii="仿宋_GB2312" w:hAnsi="仿宋_GB2312" w:eastAsia="仿宋_GB2312" w:cs="仿宋_GB2312"/>
          <w:spacing w:val="0"/>
          <w:kern w:val="10"/>
          <w:sz w:val="32"/>
          <w:szCs w:val="32"/>
          <w:highlight w:val="none"/>
          <w:lang w:val="en-US" w:eastAsia="zh-CN"/>
        </w:rPr>
        <w:t>土地市场持续低迷，</w:t>
      </w:r>
      <w:r>
        <w:rPr>
          <w:rFonts w:hint="eastAsia" w:ascii="仿宋_GB2312" w:hAnsi="仿宋_GB2312" w:eastAsia="仿宋_GB2312" w:cs="仿宋_GB2312"/>
          <w:spacing w:val="0"/>
          <w:kern w:val="10"/>
          <w:sz w:val="32"/>
          <w:szCs w:val="32"/>
          <w:highlight w:val="none"/>
          <w:lang w:eastAsia="zh-CN"/>
        </w:rPr>
        <w:t>国有土地使用权出让收入</w:t>
      </w:r>
      <w:r>
        <w:rPr>
          <w:rFonts w:hint="eastAsia" w:ascii="仿宋_GB2312" w:hAnsi="仿宋_GB2312" w:eastAsia="仿宋_GB2312" w:cs="仿宋_GB2312"/>
          <w:spacing w:val="0"/>
          <w:kern w:val="10"/>
          <w:sz w:val="32"/>
          <w:szCs w:val="32"/>
          <w:highlight w:val="none"/>
          <w:lang w:val="en-US" w:eastAsia="zh-CN"/>
        </w:rPr>
        <w:t>减少等因素影响，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收入预算调整为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175453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万元，实际完成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160307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万元（其中：国有土地使用权出让收入完成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149210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万元），为调整预算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数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91.4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%，同比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  <w:t>增长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  <w:t>19.4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%。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主要项目执行情况：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文星仿宋" w:eastAsia="仿宋_GB2312"/>
          <w:spacing w:val="0"/>
          <w:sz w:val="32"/>
          <w:szCs w:val="32"/>
        </w:rPr>
      </w:pPr>
      <w:r>
        <w:rPr>
          <w:rFonts w:hint="eastAsia" w:ascii="仿宋_GB2312" w:hAnsi="文星仿宋" w:eastAsia="仿宋_GB2312"/>
          <w:spacing w:val="0"/>
          <w:sz w:val="32"/>
          <w:szCs w:val="32"/>
        </w:rPr>
        <w:t>国有土地收益基金收入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2329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万元，同比</w:t>
      </w:r>
      <w:r>
        <w:rPr>
          <w:rFonts w:hint="eastAsia" w:ascii="仿宋_GB2312" w:hAnsi="文星仿宋" w:eastAsia="仿宋_GB2312"/>
          <w:spacing w:val="0"/>
          <w:sz w:val="32"/>
          <w:szCs w:val="32"/>
          <w:lang w:eastAsia="zh-CN"/>
        </w:rPr>
        <w:t>下降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38.7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文星仿宋" w:eastAsia="仿宋_GB2312"/>
          <w:spacing w:val="0"/>
          <w:sz w:val="32"/>
          <w:szCs w:val="32"/>
        </w:rPr>
      </w:pPr>
      <w:r>
        <w:rPr>
          <w:rFonts w:hint="eastAsia" w:ascii="仿宋_GB2312" w:hAnsi="文星仿宋" w:eastAsia="仿宋_GB2312"/>
          <w:spacing w:val="0"/>
          <w:sz w:val="32"/>
          <w:szCs w:val="32"/>
        </w:rPr>
        <w:t>农业土地开发资金收入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989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万元，同比</w:t>
      </w:r>
      <w:r>
        <w:rPr>
          <w:rFonts w:hint="eastAsia" w:ascii="仿宋_GB2312" w:hAnsi="文星仿宋" w:eastAsia="仿宋_GB2312"/>
          <w:spacing w:val="0"/>
          <w:sz w:val="32"/>
          <w:szCs w:val="32"/>
          <w:lang w:eastAsia="zh-CN"/>
        </w:rPr>
        <w:t>下降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76.7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文星仿宋" w:eastAsia="仿宋_GB2312"/>
          <w:spacing w:val="0"/>
          <w:sz w:val="32"/>
          <w:szCs w:val="32"/>
        </w:rPr>
      </w:pPr>
      <w:r>
        <w:rPr>
          <w:rFonts w:hint="eastAsia" w:ascii="仿宋_GB2312" w:hAnsi="文星仿宋" w:eastAsia="仿宋_GB2312"/>
          <w:spacing w:val="0"/>
          <w:sz w:val="32"/>
          <w:szCs w:val="32"/>
        </w:rPr>
        <w:t>国有土地使用权出让收入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149210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万元，同比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增长20.3%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文星仿宋" w:eastAsia="仿宋_GB2312"/>
          <w:spacing w:val="0"/>
          <w:sz w:val="32"/>
          <w:szCs w:val="32"/>
        </w:rPr>
      </w:pPr>
      <w:r>
        <w:rPr>
          <w:rFonts w:hint="eastAsia" w:ascii="仿宋_GB2312" w:hAnsi="文星仿宋" w:eastAsia="仿宋_GB2312"/>
          <w:spacing w:val="0"/>
          <w:sz w:val="32"/>
          <w:szCs w:val="32"/>
        </w:rPr>
        <w:t>4、城市基础设施配套费收入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6307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万元，同比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增长263.5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%；</w:t>
      </w:r>
    </w:p>
    <w:p>
      <w:r>
        <w:rPr>
          <w:rFonts w:hint="eastAsia" w:ascii="仿宋_GB2312" w:hAnsi="文星仿宋" w:eastAsia="仿宋_GB2312"/>
          <w:spacing w:val="0"/>
          <w:sz w:val="32"/>
          <w:szCs w:val="32"/>
        </w:rPr>
        <w:t>5、污水处理费收入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1472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万元，同比</w:t>
      </w:r>
      <w:r>
        <w:rPr>
          <w:rFonts w:hint="eastAsia" w:ascii="仿宋_GB2312" w:hAnsi="文星仿宋" w:eastAsia="仿宋_GB2312"/>
          <w:spacing w:val="0"/>
          <w:sz w:val="32"/>
          <w:szCs w:val="32"/>
          <w:lang w:eastAsia="zh-CN"/>
        </w:rPr>
        <w:t>增长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272.7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星仿宋">
    <w:altName w:val="宋体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A6777D"/>
    <w:multiLevelType w:val="singleLevel"/>
    <w:tmpl w:val="1CA6777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568E5641"/>
    <w:rsid w:val="45C04B0F"/>
    <w:rsid w:val="568E5641"/>
    <w:rsid w:val="6975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autoRedefine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251</Words>
  <Characters>319</Characters>
  <Lines>0</Lines>
  <Paragraphs>0</Paragraphs>
  <TotalTime>0</TotalTime>
  <ScaleCrop>false</ScaleCrop>
  <LinksUpToDate>false</LinksUpToDate>
  <CharactersWithSpaces>319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2023-02-14T08:14:00Z</dcterms:created>
  <dc:creator>Administrator</dc:creator>
  <cp:lastModifiedBy>高瑛焓</cp:lastModifiedBy>
  <dcterms:modified xsi:type="dcterms:W3CDTF">2024-01-26T02:22:20Z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0804A19FDDD54C75B4F28469E0F32D04</vt:lpwstr>
  </property>
</Properties>
</file>