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年全市社会保险基金收支预算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执行情况的说明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市十六届人大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次会议批准的202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年社会保险基金收入预算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44650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42487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万元，为年初预算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95.2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%；支出预算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30622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34232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万元，为年初预算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111.8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%。分项目执行情况是：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黑体" w:hAnsi="黑体" w:eastAsia="黑体" w:cs="黑体"/>
          <w:bCs/>
          <w:spacing w:val="0"/>
          <w:sz w:val="32"/>
          <w:szCs w:val="32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</w:rPr>
        <w:t>一、202</w:t>
      </w: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spacing w:val="0"/>
          <w:sz w:val="32"/>
          <w:szCs w:val="32"/>
        </w:rPr>
        <w:t>年社会保险基金收入预算执行情况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年社会保险基金收入预算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数为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44650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42487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万元，为年初预算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95.2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，同比增长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11.7%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。主要项目执行情况：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城乡居民基本养老保险基金收入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42487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万元，为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eastAsia="zh-CN"/>
        </w:rPr>
        <w:t>年初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95.2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%，同比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增长11.7</w:t>
      </w:r>
      <w:r>
        <w:rPr>
          <w:rFonts w:ascii="仿宋_GB2312" w:hAnsi="仿宋_GB2312" w:eastAsia="仿宋_GB2312" w:cs="仿宋_GB2312"/>
          <w:spacing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黑体" w:hAnsi="黑体" w:eastAsia="黑体" w:cs="黑体"/>
          <w:bCs/>
          <w:spacing w:val="0"/>
          <w:sz w:val="32"/>
          <w:szCs w:val="32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</w:rPr>
        <w:t>二、202</w:t>
      </w:r>
      <w:r>
        <w:rPr>
          <w:rFonts w:hint="eastAsia" w:ascii="黑体" w:hAnsi="黑体" w:eastAsia="黑体" w:cs="黑体"/>
          <w:bCs/>
          <w:spacing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spacing w:val="0"/>
          <w:sz w:val="32"/>
          <w:szCs w:val="32"/>
        </w:rPr>
        <w:t>年社会保险基金支出预算执行情况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年社会保险基金支出预算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数为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30622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34232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万元，为年初预算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111.8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%，同比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增长23.2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%。主要项目执行情况：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城乡居民基本养老保险基金支出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34232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万元，为年初预算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111.8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%，同比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增长23.2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%。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7DFC72E6"/>
    <w:rsid w:val="2F7B7EA8"/>
    <w:rsid w:val="7DFC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2023-02-14T08:16:00Z</dcterms:created>
  <dc:creator>Administrator</dc:creator>
  <cp:lastModifiedBy>高瑛焓</cp:lastModifiedBy>
  <dcterms:modified xsi:type="dcterms:W3CDTF">2024-01-26T02:26:01Z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8153FC0FCF9245F69F24812BF892C6D1</vt:lpwstr>
  </property>
</Properties>
</file>