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年全市社会保险基金收支预算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一、编制原则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社会保险基金预算单独编报，与一般公共预算、政府性基金预算和国有资本经营预算相对独立，有机衔接。编制的总体原则是“统筹兼顾，收支平衡”。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二、收入支出预算编制情况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年，社会保险基金预算收入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46495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比上年完成增长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9.4%；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比上年完成增长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2.2%；</w:t>
      </w:r>
      <w:r>
        <w:rPr>
          <w:rFonts w:hint="eastAsia" w:ascii="仿宋_GB2312" w:hAnsi="仿宋_GB2312" w:eastAsia="仿宋_GB2312" w:cs="仿宋_GB2312"/>
          <w:sz w:val="32"/>
          <w:szCs w:val="32"/>
        </w:rPr>
        <w:t>当年结余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万元。主要项目是：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城乡居民基本养老保险基金收入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46495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万元，当年结余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11510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F1B284D"/>
    <w:rsid w:val="6F1B284D"/>
    <w:rsid w:val="7C79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2023-02-14T08:17:00Z</dcterms:created>
  <dc:creator>Administrator</dc:creator>
  <cp:lastModifiedBy>高瑛焓</cp:lastModifiedBy>
  <dcterms:modified xsi:type="dcterms:W3CDTF">2024-01-26T02:26:20Z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518B860352E744D2864D30A185808D1A</vt:lpwstr>
  </property>
</Properties>
</file>