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20B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454545"/>
          <w:kern w:val="0"/>
          <w:sz w:val="44"/>
          <w:szCs w:val="4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54545"/>
          <w:spacing w:val="0"/>
          <w:sz w:val="44"/>
          <w:szCs w:val="44"/>
          <w:bdr w:val="none" w:color="auto" w:sz="0" w:space="0"/>
          <w:shd w:val="clear" w:fill="FFFFFF"/>
        </w:rPr>
        <w:t>季度对违反《信息网络传播权保护条例》有关行为的行政处罚公示</w:t>
      </w:r>
    </w:p>
    <w:p w14:paraId="34914EF2">
      <w:pPr>
        <w:widowControl/>
        <w:shd w:val="clear" w:color="auto" w:fill="FFFFFF"/>
        <w:spacing w:line="690" w:lineRule="atLeast"/>
        <w:jc w:val="center"/>
        <w:outlineLvl w:val="2"/>
        <w:rPr>
          <w:rFonts w:hint="eastAsia" w:asciiTheme="minorEastAsia" w:hAnsiTheme="minorEastAsia" w:eastAsiaTheme="minorEastAsia" w:cstheme="minorEastAsia"/>
          <w:color w:val="454545"/>
          <w:kern w:val="0"/>
          <w:sz w:val="44"/>
          <w:szCs w:val="44"/>
        </w:rPr>
      </w:pPr>
    </w:p>
    <w:p w14:paraId="6AF874BB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5AF19021">
      <w:pPr>
        <w:bidi w:val="0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年第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季度经禹州市文化市场综合行政执法大队核实，未查处有违反《信息网络传播权保护条例》的有关行为，未作出对违反《信息网络传播权保护条例》有关行为的行政处罚，特此说明。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AA"/>
    <w:rsid w:val="001D5D22"/>
    <w:rsid w:val="004737AA"/>
    <w:rsid w:val="007433C9"/>
    <w:rsid w:val="008E6148"/>
    <w:rsid w:val="00A46E64"/>
    <w:rsid w:val="00A67298"/>
    <w:rsid w:val="00DF77F4"/>
    <w:rsid w:val="00EA443B"/>
    <w:rsid w:val="00EB53A5"/>
    <w:rsid w:val="445F5F88"/>
    <w:rsid w:val="4A913C61"/>
    <w:rsid w:val="51DD5ACC"/>
    <w:rsid w:val="6BDC4305"/>
    <w:rsid w:val="6BF8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1</Lines>
  <Paragraphs>1</Paragraphs>
  <TotalTime>5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2024-03-28T01:49:00Z</dcterms:created>
  <dc:creator>Lenovo</dc:creator>
  <cp:lastModifiedBy>好运来了</cp:lastModifiedBy>
  <dcterms:modified xsi:type="dcterms:W3CDTF">2025-10-28T03:15:32Z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8ED73344A48741D091882FE6C96E5642_13</vt:lpwstr>
  </property>
</Properties>
</file>