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sz w:val="44"/>
          <w:szCs w:val="44"/>
        </w:rPr>
      </w:pPr>
      <w:r>
        <w:rPr>
          <w:rFonts w:hint="eastAsia"/>
          <w:sz w:val="44"/>
          <w:szCs w:val="44"/>
        </w:rPr>
        <w:t>认定程序</w:t>
      </w:r>
      <w:bookmarkStart w:id="0" w:name="_GoBack"/>
      <w:bookmarkEnd w:id="0"/>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严格执行先确认身份信息，后鉴定危房等级的工作程序。住建局依据乡村振兴局、民政局提供的农村低收入群体等重点对象名单组织开展住房安全性鉴定(评定)，对经鉴定(评定)住房确属C级、D级或无房户的农村低收入群体等重点对象列为年度农村危房改造对象。无房户指无自有房屋的农村低收入群体等重点对象，由农户本人申报、村级评议、镇村两级公示等措施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23281CE8"/>
    <w:rsid w:val="23281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2022-11-30T09:16:00Z</dcterms:created>
  <dc:creator>Administrator</dc:creator>
  <cp:lastModifiedBy>Administrator</cp:lastModifiedBy>
  <dcterms:modified xsi:type="dcterms:W3CDTF">2022-11-30T09:17:28Z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5E80766B79EE42C69948E06A5133AB24</vt:lpwstr>
  </property>
</Properties>
</file>