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动物防疫等补助经费政务公开事项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楷体" w:hAnsi="楷体" w:eastAsia="楷体" w:cs="楷体"/>
          <w:sz w:val="40"/>
          <w:szCs w:val="40"/>
          <w:lang w:eastAsia="zh-CN"/>
        </w:rPr>
      </w:pPr>
      <w:r>
        <w:rPr>
          <w:rFonts w:hint="eastAsia" w:ascii="楷体" w:hAnsi="楷体" w:eastAsia="楷体" w:cs="楷体"/>
          <w:sz w:val="40"/>
          <w:szCs w:val="40"/>
          <w:lang w:eastAsia="zh-CN"/>
        </w:rPr>
        <w:t>（政策依据）</w:t>
      </w:r>
    </w:p>
    <w:p>
      <w:pPr>
        <w:numPr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养殖环节无害化处理补助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《中华人民共和国动物防疫法》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病害动物和病害动物产品生物安全处理规程》（GB-16548-2006）以及农业部病死动物无害化处理技术规范。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2、强制免疫补助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《中华人民共和国动物防疫法》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、《河南省动物疫病强制免疫计划》、《禹州市动物疫病强制免疫补助政策改革实施方案》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强制扑杀补助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《中华人民共和国动物防疫法》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《动物疫病防控财政支持政策实施指导意见》（农办财〔2017〕35号）、《财政部、农业农村部关于做好非洲猪瘟强制扑杀补助工作的通知》（财农〔2018〕98号）</w:t>
      </w: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jllNWZhOWEwOThmNjhkMDNlYTE3MTlkZmQxNWMifQ=="/>
  </w:docVars>
  <w:rsids>
    <w:rsidRoot w:val="1D897861"/>
    <w:rsid w:val="1D897861"/>
    <w:rsid w:val="36E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265</Characters>
  <Lines>0</Lines>
  <Paragraphs>0</Paragraphs>
  <TotalTime>3</TotalTime>
  <ScaleCrop>false</ScaleCrop>
  <LinksUpToDate>false</LinksUpToDate>
  <CharactersWithSpaces>268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2022-10-26T03:22:00Z</dcterms:created>
  <dc:creator>棉花糖</dc:creator>
  <cp:lastModifiedBy>棉花糖</cp:lastModifiedBy>
  <dcterms:modified xsi:type="dcterms:W3CDTF">2022-10-26T03:40:03Z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E7149D1C006042CB80EE5AA1974E18E0</vt:lpwstr>
  </property>
</Properties>
</file>