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r>
        <w:rPr>
          <w:rFonts w:ascii="微软雅黑" w:hAnsi="微软雅黑" w:eastAsia="微软雅黑" w:cs="微软雅黑"/>
          <w:b w:val="0"/>
          <w:bCs w:val="0"/>
          <w:i w:val="0"/>
          <w:iCs w:val="0"/>
          <w:caps w:val="0"/>
          <w:color w:val="000000"/>
          <w:spacing w:val="0"/>
          <w:sz w:val="24"/>
          <w:szCs w:val="24"/>
        </w:rPr>
        <w:t>第二十六条</w:t>
      </w:r>
      <w:r>
        <w:rPr>
          <w:rFonts w:hint="eastAsia" w:ascii="宋体" w:hAnsi="宋体" w:eastAsia="宋体" w:cs="宋体"/>
          <w:b w:val="0"/>
          <w:bCs w:val="0"/>
          <w:i w:val="0"/>
          <w:iCs w:val="0"/>
          <w:caps w:val="0"/>
          <w:color w:val="000000"/>
          <w:spacing w:val="0"/>
          <w:sz w:val="24"/>
          <w:szCs w:val="24"/>
        </w:rPr>
        <w:t>　需要征收土地，县级以上地方人民政府认为符合《土地管理法》第四十五条规定的，应当发布征收土地预公告，并开展拟征收土地现状调查和社会稳定风险评估。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土地现状调查应当查明土地的位置、权属、地类、面积，以及农村村民住宅、其他地上附着物和青苗等的权属、种类、数量等情况。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r>
        <w:rPr>
          <w:rFonts w:hint="eastAsia" w:ascii="微软雅黑" w:hAnsi="微软雅黑" w:eastAsia="微软雅黑" w:cs="微软雅黑"/>
          <w:b w:val="0"/>
          <w:bCs w:val="0"/>
          <w:i w:val="0"/>
          <w:iCs w:val="0"/>
          <w:caps w:val="0"/>
          <w:color w:val="000000"/>
          <w:spacing w:val="0"/>
          <w:sz w:val="24"/>
          <w:szCs w:val="24"/>
        </w:rPr>
        <w:t>第二十七条</w:t>
      </w:r>
      <w:r>
        <w:rPr>
          <w:rFonts w:hint="eastAsia" w:ascii="宋体" w:hAnsi="宋体" w:eastAsia="宋体" w:cs="宋体"/>
          <w:b w:val="0"/>
          <w:bCs w:val="0"/>
          <w:i w:val="0"/>
          <w:iCs w:val="0"/>
          <w:caps w:val="0"/>
          <w:color w:val="000000"/>
          <w:spacing w:val="0"/>
          <w:sz w:val="24"/>
          <w:szCs w:val="24"/>
        </w:rPr>
        <w:t>　县级以上地方人民政府应当依据社会稳定风险评估结果，结合土地现状调查情况，组织自然资源、财政、农业农村、人力资源和社会保障等有关部门拟定征地补偿安置方案。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征地补偿安置方案应当包括征收范围、土地现状、征收目的、补偿方式和标准、安置对象、安置方式、社会保障等内容。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r>
        <w:rPr>
          <w:rFonts w:hint="eastAsia" w:ascii="微软雅黑" w:hAnsi="微软雅黑" w:eastAsia="微软雅黑" w:cs="微软雅黑"/>
          <w:b w:val="0"/>
          <w:bCs w:val="0"/>
          <w:i w:val="0"/>
          <w:iCs w:val="0"/>
          <w:caps w:val="0"/>
          <w:color w:val="000000"/>
          <w:spacing w:val="0"/>
          <w:sz w:val="24"/>
          <w:szCs w:val="24"/>
        </w:rPr>
        <w:t>第二十八条</w:t>
      </w:r>
      <w:r>
        <w:rPr>
          <w:rFonts w:hint="eastAsia" w:ascii="宋体" w:hAnsi="宋体" w:eastAsia="宋体" w:cs="宋体"/>
          <w:b w:val="0"/>
          <w:bCs w:val="0"/>
          <w:i w:val="0"/>
          <w:iCs w:val="0"/>
          <w:caps w:val="0"/>
          <w:color w:val="000000"/>
          <w:spacing w:val="0"/>
          <w:sz w:val="24"/>
          <w:szCs w:val="24"/>
        </w:rPr>
        <w:t>　征地补偿安置方案拟定后，县级以上地方人民政府应当在拟征收土地所在的乡（镇）和村、村民小组范围内公告，公告时间不少于三十日。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征地补偿安置公告应当同时载明办理补偿登记的方式和期限、异议反馈渠道等内容。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多数被征地的农村集体经济组织成员认为拟定的征地补偿安置方案不符合法律、法规规定的，县级以上地方人民政府应当组织听证。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r>
        <w:rPr>
          <w:rFonts w:hint="eastAsia" w:ascii="微软雅黑" w:hAnsi="微软雅黑" w:eastAsia="微软雅黑" w:cs="微软雅黑"/>
          <w:b w:val="0"/>
          <w:bCs w:val="0"/>
          <w:i w:val="0"/>
          <w:iCs w:val="0"/>
          <w:caps w:val="0"/>
          <w:color w:val="000000"/>
          <w:spacing w:val="0"/>
          <w:sz w:val="24"/>
          <w:szCs w:val="24"/>
        </w:rPr>
        <w:t>第二十九条</w:t>
      </w:r>
      <w:r>
        <w:rPr>
          <w:rFonts w:hint="eastAsia" w:ascii="宋体" w:hAnsi="宋体" w:eastAsia="宋体" w:cs="宋体"/>
          <w:b w:val="0"/>
          <w:bCs w:val="0"/>
          <w:i w:val="0"/>
          <w:iCs w:val="0"/>
          <w:caps w:val="0"/>
          <w:color w:val="000000"/>
          <w:spacing w:val="0"/>
          <w:sz w:val="24"/>
          <w:szCs w:val="24"/>
        </w:rPr>
        <w:t>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对个别确实难以达成征地补偿安置协议的，县级以上地方人民政府应当在申请征收土地时如实说明。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r>
        <w:rPr>
          <w:rFonts w:hint="eastAsia" w:ascii="微软雅黑" w:hAnsi="微软雅黑" w:eastAsia="微软雅黑" w:cs="微软雅黑"/>
          <w:b w:val="0"/>
          <w:bCs w:val="0"/>
          <w:i w:val="0"/>
          <w:iCs w:val="0"/>
          <w:caps w:val="0"/>
          <w:color w:val="000000"/>
          <w:spacing w:val="0"/>
          <w:sz w:val="24"/>
          <w:szCs w:val="24"/>
        </w:rPr>
        <w:t>第三十条</w:t>
      </w:r>
      <w:r>
        <w:rPr>
          <w:rFonts w:hint="eastAsia" w:ascii="宋体" w:hAnsi="宋体" w:eastAsia="宋体" w:cs="宋体"/>
          <w:b w:val="0"/>
          <w:bCs w:val="0"/>
          <w:i w:val="0"/>
          <w:iCs w:val="0"/>
          <w:caps w:val="0"/>
          <w:color w:val="000000"/>
          <w:spacing w:val="0"/>
          <w:sz w:val="24"/>
          <w:szCs w:val="24"/>
        </w:rPr>
        <w:t>　县级以上地方人民政府完成本条例规定的征地前期工作后，方可提出征收土地申请，依照《土地管理法》第四十六条的规定报有批准权的人民政府批准。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有批准权的人民政府应当对征收土地的必要性、合理性、是否符合《土地管理法》第四十五条规定的为了公共利益确需征收土地的情形以及是否符合法定程序进行审查。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r>
        <w:rPr>
          <w:rFonts w:hint="eastAsia" w:ascii="微软雅黑" w:hAnsi="微软雅黑" w:eastAsia="微软雅黑" w:cs="微软雅黑"/>
          <w:b w:val="0"/>
          <w:bCs w:val="0"/>
          <w:i w:val="0"/>
          <w:iCs w:val="0"/>
          <w:caps w:val="0"/>
          <w:color w:val="000000"/>
          <w:spacing w:val="0"/>
          <w:sz w:val="24"/>
          <w:szCs w:val="24"/>
        </w:rPr>
        <w:t>第三十一条</w:t>
      </w:r>
      <w:r>
        <w:rPr>
          <w:rFonts w:hint="eastAsia" w:ascii="宋体" w:hAnsi="宋体" w:eastAsia="宋体" w:cs="宋体"/>
          <w:b w:val="0"/>
          <w:bCs w:val="0"/>
          <w:i w:val="0"/>
          <w:iCs w:val="0"/>
          <w:caps w:val="0"/>
          <w:color w:val="000000"/>
          <w:spacing w:val="0"/>
          <w:sz w:val="24"/>
          <w:szCs w:val="24"/>
        </w:rPr>
        <w:t>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r>
        <w:rPr>
          <w:rFonts w:hint="eastAsia" w:ascii="微软雅黑" w:hAnsi="微软雅黑" w:eastAsia="微软雅黑" w:cs="微软雅黑"/>
          <w:b w:val="0"/>
          <w:bCs w:val="0"/>
          <w:i w:val="0"/>
          <w:iCs w:val="0"/>
          <w:caps w:val="0"/>
          <w:color w:val="000000"/>
          <w:spacing w:val="0"/>
          <w:sz w:val="24"/>
          <w:szCs w:val="24"/>
        </w:rPr>
        <w:t>第三十二条</w:t>
      </w:r>
      <w:r>
        <w:rPr>
          <w:rFonts w:hint="eastAsia" w:ascii="宋体" w:hAnsi="宋体" w:eastAsia="宋体" w:cs="宋体"/>
          <w:b w:val="0"/>
          <w:bCs w:val="0"/>
          <w:i w:val="0"/>
          <w:iCs w:val="0"/>
          <w:caps w:val="0"/>
          <w:color w:val="000000"/>
          <w:spacing w:val="0"/>
          <w:sz w:val="24"/>
          <w:szCs w:val="24"/>
        </w:rPr>
        <w:t>　省、自治区、直辖市应当制定公布区片综合地价，确定征收农用地的土地补偿费、安置补助费标准，并制定土地补偿费、安置补助费分配办法。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地上附着物和青苗等的补偿费用，归其所有权人所有。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社会保障费用主要用于符合条件的被征地农民的养老保险等社会保险缴费补贴，按照省、自治区、直辖市的规定单独列支。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OTBjZTQyODc0NGRjZmRhY2E1YmMyZGM0MDBhMjEifQ=="/>
  </w:docVars>
  <w:rsids>
    <w:rsidRoot w:val="00000000"/>
    <w:rsid w:val="193F67FB"/>
    <w:rsid w:val="63DC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1383</Words>
  <Characters>1383</Characters>
  <Lines>0</Lines>
  <Paragraphs>0</Paragraphs>
  <TotalTime>0</TotalTime>
  <ScaleCrop>false</ScaleCrop>
  <LinksUpToDate>false</LinksUpToDate>
  <CharactersWithSpaces>1432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2022-08-16T05:12:25Z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DEF010845B55411C8E2580152BD0E5F9</vt:lpwstr>
  </property>
</Properties>
</file>