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14"/>
        </w:tabs>
        <w:spacing w:line="242" w:lineRule="auto"/>
        <w:ind w:left="667" w:right="6252"/>
        <w:jc w:val="center"/>
        <w:rPr>
          <w:rFonts w:hint="eastAsia" w:ascii="黑体" w:eastAsia="黑体"/>
          <w:spacing w:val="-5"/>
          <w:sz w:val="28"/>
        </w:rPr>
      </w:pPr>
      <w:bookmarkStart w:id="0" w:name="_GoBack"/>
      <w:r>
        <w:rPr>
          <w:rFonts w:hint="eastAsia" w:ascii="黑体" w:eastAsia="黑体"/>
          <w:spacing w:val="-5"/>
          <w:sz w:val="28"/>
        </w:rPr>
        <w:t>就业困难人员认定</w:t>
      </w:r>
    </w:p>
    <w:bookmarkEnd w:id="0"/>
    <w:p>
      <w:pPr>
        <w:tabs>
          <w:tab w:val="left" w:pos="1514"/>
        </w:tabs>
        <w:spacing w:line="242" w:lineRule="auto"/>
        <w:ind w:left="667" w:right="6252"/>
        <w:rPr>
          <w:rFonts w:hint="eastAsia" w:ascii="黑体" w:eastAsia="黑体"/>
          <w:sz w:val="28"/>
        </w:rPr>
      </w:pPr>
      <w:r>
        <w:rPr>
          <w:rFonts w:hint="eastAsia" w:ascii="黑体" w:eastAsia="黑体"/>
          <w:spacing w:val="-1"/>
          <w:sz w:val="28"/>
        </w:rPr>
        <w:t>一、文件依据：</w:t>
      </w:r>
    </w:p>
    <w:p>
      <w:pPr>
        <w:pStyle w:val="5"/>
        <w:numPr>
          <w:ilvl w:val="0"/>
          <w:numId w:val="1"/>
        </w:numPr>
        <w:tabs>
          <w:tab w:val="left" w:pos="1515"/>
        </w:tabs>
        <w:spacing w:line="244" w:lineRule="auto"/>
        <w:ind w:right="628" w:firstLine="559"/>
        <w:rPr>
          <w:sz w:val="28"/>
        </w:rPr>
      </w:pPr>
      <w:r>
        <w:rPr>
          <w:spacing w:val="-1"/>
          <w:sz w:val="28"/>
        </w:rPr>
        <w:t>人力资源社会保障部关于修改《就业服务与就业管理规定》的决</w:t>
      </w:r>
      <w:r>
        <w:rPr>
          <w:sz w:val="28"/>
        </w:rPr>
        <w:t>定（</w:t>
      </w:r>
      <w:r>
        <w:rPr>
          <w:rFonts w:ascii="Times New Roman" w:eastAsia="Times New Roman"/>
          <w:sz w:val="28"/>
        </w:rPr>
        <w:t>2014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36"/>
          <w:sz w:val="28"/>
        </w:rPr>
        <w:t xml:space="preserve">年 </w:t>
      </w:r>
      <w:r>
        <w:rPr>
          <w:rFonts w:ascii="Times New Roman" w:eastAsia="Times New Roman"/>
          <w:sz w:val="28"/>
        </w:rPr>
        <w:t>12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14"/>
          <w:sz w:val="28"/>
        </w:rPr>
        <w:t xml:space="preserve">月，部令第 </w:t>
      </w:r>
      <w:r>
        <w:rPr>
          <w:rFonts w:ascii="Times New Roman" w:eastAsia="Times New Roman"/>
          <w:sz w:val="28"/>
        </w:rPr>
        <w:t>23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号）</w:t>
      </w:r>
    </w:p>
    <w:p>
      <w:pPr>
        <w:pStyle w:val="5"/>
        <w:numPr>
          <w:ilvl w:val="0"/>
          <w:numId w:val="1"/>
        </w:numPr>
        <w:tabs>
          <w:tab w:val="left" w:pos="1515"/>
        </w:tabs>
        <w:spacing w:line="242" w:lineRule="auto"/>
        <w:ind w:right="628" w:firstLine="559"/>
        <w:rPr>
          <w:sz w:val="28"/>
        </w:rPr>
      </w:pPr>
      <w:r>
        <w:rPr>
          <w:sz w:val="28"/>
        </w:rPr>
        <w:t>人力资源社会保障部关于加强就业援助工作的指导意见（</w:t>
      </w:r>
      <w:r>
        <w:rPr>
          <w:spacing w:val="-6"/>
          <w:sz w:val="28"/>
        </w:rPr>
        <w:t>人社部</w:t>
      </w:r>
      <w:r>
        <w:rPr>
          <w:sz w:val="28"/>
        </w:rPr>
        <w:t>发〔</w:t>
      </w:r>
      <w:r>
        <w:rPr>
          <w:rFonts w:ascii="Times New Roman" w:eastAsia="Times New Roman"/>
          <w:sz w:val="28"/>
        </w:rPr>
        <w:t>2010</w:t>
      </w:r>
      <w:r>
        <w:rPr>
          <w:sz w:val="28"/>
        </w:rPr>
        <w:t>〕</w:t>
      </w:r>
      <w:r>
        <w:rPr>
          <w:rFonts w:ascii="Times New Roman" w:eastAsia="Times New Roman"/>
          <w:sz w:val="28"/>
        </w:rPr>
        <w:t>29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sz w:val="28"/>
        </w:rPr>
        <w:t>号）</w:t>
      </w:r>
    </w:p>
    <w:p>
      <w:pPr>
        <w:pStyle w:val="5"/>
        <w:numPr>
          <w:ilvl w:val="0"/>
          <w:numId w:val="1"/>
        </w:numPr>
        <w:tabs>
          <w:tab w:val="left" w:pos="1515"/>
        </w:tabs>
        <w:spacing w:line="242" w:lineRule="auto"/>
        <w:ind w:right="628" w:firstLine="559"/>
        <w:rPr>
          <w:rFonts w:ascii="Times New Roman" w:eastAsia="Times New Roman"/>
          <w:sz w:val="28"/>
        </w:rPr>
      </w:pPr>
      <w:r>
        <w:rPr>
          <w:spacing w:val="-1"/>
          <w:sz w:val="28"/>
        </w:rPr>
        <w:t>河南省人民政府关于进一步做好新形势下就业创业工作的实施意</w:t>
      </w:r>
      <w:r>
        <w:rPr>
          <w:sz w:val="28"/>
        </w:rPr>
        <w:t>见</w:t>
      </w:r>
      <w:r>
        <w:rPr>
          <w:rFonts w:ascii="Times New Roman" w:eastAsia="Times New Roman"/>
          <w:spacing w:val="-3"/>
          <w:sz w:val="28"/>
        </w:rPr>
        <w:t>(</w:t>
      </w:r>
      <w:r>
        <w:rPr>
          <w:sz w:val="28"/>
        </w:rPr>
        <w:t>豫政〔</w:t>
      </w:r>
      <w:r>
        <w:rPr>
          <w:rFonts w:ascii="Times New Roman" w:eastAsia="Times New Roman"/>
          <w:sz w:val="28"/>
        </w:rPr>
        <w:t>2015</w:t>
      </w:r>
      <w:r>
        <w:rPr>
          <w:sz w:val="28"/>
        </w:rPr>
        <w:t>〕</w:t>
      </w:r>
      <w:r>
        <w:rPr>
          <w:rFonts w:ascii="Times New Roman" w:eastAsia="Times New Roman"/>
          <w:sz w:val="28"/>
        </w:rPr>
        <w:t>59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spacing w:val="3"/>
          <w:sz w:val="28"/>
        </w:rPr>
        <w:t>号</w:t>
      </w:r>
      <w:r>
        <w:rPr>
          <w:rFonts w:ascii="Times New Roman" w:eastAsia="Times New Roman"/>
          <w:sz w:val="28"/>
        </w:rPr>
        <w:t>)</w:t>
      </w:r>
    </w:p>
    <w:p>
      <w:pPr>
        <w:pStyle w:val="2"/>
        <w:ind w:left="1090"/>
        <w:rPr>
          <w:rFonts w:hint="eastAsia" w:ascii="黑体" w:eastAsia="黑体"/>
        </w:rPr>
      </w:pPr>
      <w:r>
        <w:rPr>
          <w:rFonts w:hint="eastAsia" w:ascii="黑体" w:eastAsia="黑体"/>
        </w:rPr>
        <w:t>二、对象范围：</w:t>
      </w:r>
    </w:p>
    <w:p>
      <w:pPr>
        <w:pStyle w:val="2"/>
        <w:spacing w:before="4" w:line="242" w:lineRule="auto"/>
        <w:ind w:right="631" w:firstLine="559"/>
      </w:pPr>
      <w:r>
        <w:rPr>
          <w:spacing w:val="-13"/>
        </w:rPr>
        <w:t>在法定劳动年龄内、有劳动能力和就业要求的符合相关规定的登记失</w:t>
      </w:r>
      <w:r>
        <w:rPr>
          <w:spacing w:val="-3"/>
        </w:rPr>
        <w:t>业人员和零就业家庭成员。</w:t>
      </w:r>
    </w:p>
    <w:p>
      <w:pPr>
        <w:pStyle w:val="2"/>
        <w:spacing w:before="1"/>
        <w:ind w:left="1090"/>
        <w:rPr>
          <w:rFonts w:hint="eastAsia" w:ascii="黑体" w:eastAsia="黑体"/>
        </w:rPr>
      </w:pPr>
      <w:r>
        <w:rPr>
          <w:rFonts w:hint="eastAsia" w:ascii="黑体" w:eastAsia="黑体"/>
        </w:rPr>
        <w:t>三、申请条件：</w:t>
      </w:r>
    </w:p>
    <w:p>
      <w:pPr>
        <w:pStyle w:val="5"/>
        <w:numPr>
          <w:ilvl w:val="0"/>
          <w:numId w:val="2"/>
        </w:numPr>
        <w:tabs>
          <w:tab w:val="left" w:pos="1442"/>
        </w:tabs>
        <w:spacing w:before="6"/>
        <w:ind w:hanging="352"/>
        <w:rPr>
          <w:sz w:val="28"/>
        </w:rPr>
      </w:pPr>
      <w:r>
        <w:rPr>
          <w:spacing w:val="-2"/>
          <w:sz w:val="28"/>
        </w:rPr>
        <w:t>城镇零就业家庭的成员；</w:t>
      </w:r>
    </w:p>
    <w:p>
      <w:pPr>
        <w:pStyle w:val="5"/>
        <w:numPr>
          <w:ilvl w:val="0"/>
          <w:numId w:val="2"/>
        </w:numPr>
        <w:tabs>
          <w:tab w:val="left" w:pos="1442"/>
        </w:tabs>
        <w:spacing w:before="4"/>
        <w:ind w:hanging="352"/>
        <w:rPr>
          <w:sz w:val="28"/>
        </w:rPr>
      </w:pPr>
      <w:r>
        <w:rPr>
          <w:spacing w:val="-3"/>
          <w:sz w:val="28"/>
        </w:rPr>
        <w:t>距法定退休年龄十年以内的登记失业人员；</w:t>
      </w:r>
    </w:p>
    <w:p>
      <w:pPr>
        <w:pStyle w:val="5"/>
        <w:numPr>
          <w:ilvl w:val="0"/>
          <w:numId w:val="2"/>
        </w:numPr>
        <w:tabs>
          <w:tab w:val="left" w:pos="1442"/>
        </w:tabs>
        <w:spacing w:before="3"/>
        <w:ind w:hanging="352"/>
        <w:rPr>
          <w:sz w:val="28"/>
        </w:rPr>
      </w:pPr>
      <w:r>
        <w:rPr>
          <w:spacing w:val="-3"/>
          <w:sz w:val="28"/>
        </w:rPr>
        <w:t>连续失业半年以上的登记失业人员；</w:t>
      </w:r>
    </w:p>
    <w:p>
      <w:pPr>
        <w:pStyle w:val="5"/>
        <w:numPr>
          <w:ilvl w:val="0"/>
          <w:numId w:val="2"/>
        </w:numPr>
        <w:tabs>
          <w:tab w:val="left" w:pos="1444"/>
        </w:tabs>
        <w:spacing w:before="4" w:line="244" w:lineRule="auto"/>
        <w:ind w:left="531" w:right="631" w:firstLine="559"/>
        <w:jc w:val="both"/>
        <w:rPr>
          <w:sz w:val="28"/>
        </w:rPr>
      </w:pPr>
      <w:r>
        <w:rPr>
          <w:sz w:val="28"/>
        </w:rPr>
        <w:t>困难家庭（包括低保家庭、残疾人家庭等）中就业困难的毕业两</w:t>
      </w:r>
      <w:r>
        <w:rPr>
          <w:spacing w:val="-3"/>
          <w:sz w:val="28"/>
        </w:rPr>
        <w:t>年内的高校毕业生；</w:t>
      </w:r>
    </w:p>
    <w:p>
      <w:pPr>
        <w:pStyle w:val="5"/>
        <w:numPr>
          <w:ilvl w:val="0"/>
          <w:numId w:val="2"/>
        </w:numPr>
        <w:tabs>
          <w:tab w:val="left" w:pos="1442"/>
        </w:tabs>
        <w:spacing w:line="354" w:lineRule="exact"/>
        <w:ind w:hanging="352"/>
        <w:jc w:val="both"/>
        <w:rPr>
          <w:sz w:val="28"/>
        </w:rPr>
      </w:pPr>
      <w:r>
        <w:rPr>
          <w:spacing w:val="-2"/>
          <w:sz w:val="28"/>
        </w:rPr>
        <w:t>就业困难的被征地农民；</w:t>
      </w:r>
    </w:p>
    <w:p>
      <w:pPr>
        <w:pStyle w:val="5"/>
        <w:numPr>
          <w:ilvl w:val="0"/>
          <w:numId w:val="2"/>
        </w:numPr>
        <w:tabs>
          <w:tab w:val="left" w:pos="1444"/>
        </w:tabs>
        <w:spacing w:before="3" w:line="242" w:lineRule="auto"/>
        <w:ind w:left="531" w:right="630" w:firstLine="559"/>
        <w:jc w:val="both"/>
        <w:rPr>
          <w:sz w:val="28"/>
        </w:rPr>
      </w:pPr>
      <w:r>
        <w:rPr>
          <w:sz w:val="28"/>
        </w:rPr>
        <w:t>失业的残疾人、城镇复员转业军人、县级以上劳动模范、军烈属</w:t>
      </w:r>
      <w:r>
        <w:rPr>
          <w:spacing w:val="-7"/>
          <w:sz w:val="28"/>
        </w:rPr>
        <w:t>和需要抚养未成年人的单亲家庭成员</w:t>
      </w:r>
      <w:r>
        <w:rPr>
          <w:sz w:val="28"/>
        </w:rPr>
        <w:t>（</w:t>
      </w:r>
      <w:r>
        <w:rPr>
          <w:spacing w:val="-10"/>
          <w:sz w:val="28"/>
        </w:rPr>
        <w:t>夫妻双方因离异或丧偶，需抚养未</w:t>
      </w:r>
      <w:r>
        <w:rPr>
          <w:spacing w:val="-3"/>
          <w:sz w:val="28"/>
        </w:rPr>
        <w:t>成年子女或全日制大学本科及以下在学子女的人员</w:t>
      </w:r>
      <w:r>
        <w:rPr>
          <w:spacing w:val="-140"/>
          <w:sz w:val="28"/>
        </w:rPr>
        <w:t>）</w:t>
      </w:r>
      <w:r>
        <w:rPr>
          <w:sz w:val="28"/>
        </w:rPr>
        <w:t>；</w:t>
      </w:r>
    </w:p>
    <w:p>
      <w:pPr>
        <w:pStyle w:val="5"/>
        <w:numPr>
          <w:ilvl w:val="0"/>
          <w:numId w:val="2"/>
        </w:numPr>
        <w:tabs>
          <w:tab w:val="left" w:pos="1442"/>
        </w:tabs>
        <w:spacing w:before="4"/>
        <w:ind w:hanging="352"/>
        <w:jc w:val="both"/>
        <w:rPr>
          <w:sz w:val="28"/>
        </w:rPr>
      </w:pPr>
      <w:r>
        <w:rPr>
          <w:spacing w:val="-3"/>
          <w:sz w:val="28"/>
        </w:rPr>
        <w:t>其他符合国家和省规定的就业困难人员。</w:t>
      </w:r>
    </w:p>
    <w:p>
      <w:pPr>
        <w:pStyle w:val="2"/>
        <w:spacing w:before="6"/>
        <w:ind w:left="1090"/>
        <w:rPr>
          <w:rFonts w:hint="eastAsia" w:ascii="黑体" w:eastAsia="黑体"/>
        </w:rPr>
      </w:pPr>
      <w:r>
        <w:rPr>
          <w:rFonts w:hint="eastAsia" w:ascii="黑体" w:eastAsia="黑体"/>
        </w:rPr>
        <w:t>四、申请材料：</w:t>
      </w:r>
    </w:p>
    <w:p>
      <w:pPr>
        <w:pStyle w:val="5"/>
        <w:numPr>
          <w:ilvl w:val="0"/>
          <w:numId w:val="3"/>
        </w:numPr>
        <w:tabs>
          <w:tab w:val="left" w:pos="1512"/>
        </w:tabs>
        <w:spacing w:before="3"/>
        <w:ind w:hanging="422"/>
        <w:rPr>
          <w:sz w:val="28"/>
        </w:rPr>
      </w:pPr>
      <w:r>
        <w:rPr>
          <w:spacing w:val="-2"/>
          <w:sz w:val="28"/>
        </w:rPr>
        <w:t>身份证或社会保障卡；</w:t>
      </w:r>
    </w:p>
    <w:p>
      <w:pPr>
        <w:pStyle w:val="5"/>
        <w:numPr>
          <w:ilvl w:val="0"/>
          <w:numId w:val="3"/>
        </w:numPr>
        <w:tabs>
          <w:tab w:val="left" w:pos="1512"/>
        </w:tabs>
        <w:spacing w:before="4"/>
        <w:ind w:hanging="422"/>
        <w:rPr>
          <w:sz w:val="28"/>
        </w:rPr>
      </w:pPr>
      <w:r>
        <w:rPr>
          <w:spacing w:val="-1"/>
          <w:sz w:val="28"/>
        </w:rPr>
        <w:t>相关困难证明：</w:t>
      </w:r>
    </w:p>
    <w:p>
      <w:pPr>
        <w:pStyle w:val="5"/>
        <w:numPr>
          <w:ilvl w:val="0"/>
          <w:numId w:val="4"/>
        </w:numPr>
        <w:tabs>
          <w:tab w:val="left" w:pos="1793"/>
        </w:tabs>
        <w:spacing w:before="70"/>
        <w:ind w:hanging="703"/>
        <w:rPr>
          <w:sz w:val="28"/>
        </w:rPr>
      </w:pPr>
      <w:r>
        <w:rPr>
          <w:spacing w:val="-3"/>
          <w:sz w:val="28"/>
        </w:rPr>
        <w:t>残疾人员，提供残疾证；</w:t>
      </w:r>
    </w:p>
    <w:p>
      <w:pPr>
        <w:pStyle w:val="5"/>
        <w:numPr>
          <w:ilvl w:val="0"/>
          <w:numId w:val="4"/>
        </w:numPr>
        <w:tabs>
          <w:tab w:val="left" w:pos="1793"/>
        </w:tabs>
        <w:spacing w:before="6"/>
        <w:ind w:hanging="703"/>
        <w:rPr>
          <w:sz w:val="28"/>
        </w:rPr>
      </w:pPr>
      <w:r>
        <w:rPr>
          <w:spacing w:val="-3"/>
          <w:sz w:val="28"/>
        </w:rPr>
        <w:t>城镇复员转业军人，提供复员转业证明；</w:t>
      </w:r>
    </w:p>
    <w:p>
      <w:pPr>
        <w:pStyle w:val="5"/>
        <w:numPr>
          <w:ilvl w:val="0"/>
          <w:numId w:val="4"/>
        </w:numPr>
        <w:tabs>
          <w:tab w:val="left" w:pos="1793"/>
        </w:tabs>
        <w:spacing w:before="4"/>
        <w:ind w:hanging="703"/>
        <w:rPr>
          <w:sz w:val="28"/>
        </w:rPr>
      </w:pPr>
      <w:r>
        <w:rPr>
          <w:spacing w:val="-3"/>
          <w:sz w:val="28"/>
        </w:rPr>
        <w:t>县级以上劳动模范，提供劳模证；</w:t>
      </w:r>
    </w:p>
    <w:p>
      <w:pPr>
        <w:pStyle w:val="5"/>
        <w:numPr>
          <w:ilvl w:val="0"/>
          <w:numId w:val="4"/>
        </w:numPr>
        <w:tabs>
          <w:tab w:val="left" w:pos="1793"/>
        </w:tabs>
        <w:spacing w:before="4"/>
        <w:ind w:hanging="703"/>
        <w:rPr>
          <w:sz w:val="28"/>
        </w:rPr>
      </w:pPr>
      <w:r>
        <w:rPr>
          <w:spacing w:val="-3"/>
          <w:sz w:val="28"/>
        </w:rPr>
        <w:t>军烈属，提供军烈属证明；</w:t>
      </w:r>
    </w:p>
    <w:p>
      <w:pPr>
        <w:pStyle w:val="5"/>
        <w:numPr>
          <w:ilvl w:val="0"/>
          <w:numId w:val="4"/>
        </w:numPr>
        <w:tabs>
          <w:tab w:val="left" w:pos="1795"/>
        </w:tabs>
        <w:spacing w:before="6" w:line="242" w:lineRule="auto"/>
        <w:ind w:left="531" w:right="628" w:firstLine="559"/>
        <w:rPr>
          <w:sz w:val="28"/>
        </w:rPr>
      </w:pPr>
      <w:r>
        <w:rPr>
          <w:spacing w:val="-1"/>
          <w:sz w:val="28"/>
        </w:rPr>
        <w:t>需要抚养未成年人的单亲家庭成员，提供能证明其单亲家庭及</w:t>
      </w:r>
      <w:r>
        <w:rPr>
          <w:spacing w:val="-3"/>
          <w:sz w:val="28"/>
        </w:rPr>
        <w:t>需抚养子女的相关资料；</w:t>
      </w:r>
    </w:p>
    <w:p>
      <w:pPr>
        <w:pStyle w:val="5"/>
        <w:numPr>
          <w:ilvl w:val="0"/>
          <w:numId w:val="4"/>
        </w:numPr>
        <w:tabs>
          <w:tab w:val="left" w:pos="1795"/>
        </w:tabs>
        <w:spacing w:line="244" w:lineRule="auto"/>
        <w:ind w:left="531" w:right="628" w:firstLine="559"/>
        <w:rPr>
          <w:sz w:val="28"/>
        </w:rPr>
      </w:pPr>
      <w:r>
        <w:rPr>
          <w:sz w:val="28"/>
        </w:rPr>
        <w:t>就业困难的被征地农民，提供县（市、区）</w:t>
      </w:r>
      <w:r>
        <w:rPr>
          <w:spacing w:val="-2"/>
          <w:sz w:val="28"/>
        </w:rPr>
        <w:t>人力资源社会保障</w:t>
      </w:r>
      <w:r>
        <w:rPr>
          <w:spacing w:val="-3"/>
          <w:sz w:val="28"/>
        </w:rPr>
        <w:t>和国土资源部门审核确定的凭证；</w:t>
      </w:r>
    </w:p>
    <w:p>
      <w:pPr>
        <w:pStyle w:val="5"/>
        <w:numPr>
          <w:ilvl w:val="0"/>
          <w:numId w:val="4"/>
        </w:numPr>
        <w:tabs>
          <w:tab w:val="left" w:pos="1795"/>
        </w:tabs>
        <w:spacing w:line="242" w:lineRule="auto"/>
        <w:ind w:left="531" w:right="628" w:firstLine="559"/>
        <w:rPr>
          <w:sz w:val="28"/>
        </w:rPr>
      </w:pPr>
      <w:r>
        <w:rPr>
          <w:sz w:val="28"/>
        </w:rPr>
        <w:t>困难家庭（低保家庭、残疾人家庭等）</w:t>
      </w:r>
      <w:r>
        <w:rPr>
          <w:spacing w:val="-2"/>
          <w:sz w:val="28"/>
        </w:rPr>
        <w:t>的大学生，提供毕业证</w:t>
      </w:r>
      <w:r>
        <w:rPr>
          <w:spacing w:val="-3"/>
          <w:sz w:val="28"/>
        </w:rPr>
        <w:t>及低保证、残疾证等相关材料。</w:t>
      </w:r>
    </w:p>
    <w:p>
      <w:pPr>
        <w:pStyle w:val="2"/>
        <w:ind w:left="1090"/>
        <w:rPr>
          <w:rFonts w:hint="eastAsia" w:ascii="黑体" w:eastAsia="黑体"/>
        </w:rPr>
      </w:pPr>
      <w:r>
        <w:rPr>
          <w:rFonts w:hint="eastAsia" w:ascii="黑体" w:eastAsia="黑体"/>
        </w:rPr>
        <w:t>五、办理流程：</w:t>
      </w:r>
    </w:p>
    <w:p>
      <w:pPr>
        <w:pStyle w:val="5"/>
        <w:numPr>
          <w:ilvl w:val="0"/>
          <w:numId w:val="5"/>
        </w:numPr>
        <w:tabs>
          <w:tab w:val="left" w:pos="1515"/>
        </w:tabs>
        <w:spacing w:before="2" w:line="242" w:lineRule="auto"/>
        <w:ind w:right="628" w:firstLine="559"/>
        <w:rPr>
          <w:sz w:val="28"/>
        </w:rPr>
      </w:pPr>
      <w:r>
        <w:rPr>
          <w:sz w:val="28"/>
        </w:rPr>
        <w:t>申请。申请人向常住地街道（乡镇）</w:t>
      </w:r>
      <w:r>
        <w:rPr>
          <w:spacing w:val="-2"/>
          <w:sz w:val="28"/>
        </w:rPr>
        <w:t>或社区基层服务平台提出申</w:t>
      </w:r>
      <w:r>
        <w:rPr>
          <w:spacing w:val="-12"/>
          <w:sz w:val="28"/>
        </w:rPr>
        <w:t>请，填写《就业困难人员认定申请表》。</w:t>
      </w:r>
    </w:p>
    <w:p>
      <w:pPr>
        <w:pStyle w:val="5"/>
        <w:numPr>
          <w:ilvl w:val="0"/>
          <w:numId w:val="5"/>
        </w:numPr>
        <w:tabs>
          <w:tab w:val="left" w:pos="1512"/>
        </w:tabs>
        <w:ind w:left="1511" w:hanging="422"/>
        <w:rPr>
          <w:sz w:val="28"/>
        </w:rPr>
      </w:pPr>
      <w:r>
        <w:rPr>
          <w:spacing w:val="-3"/>
          <w:sz w:val="28"/>
        </w:rPr>
        <w:t>初审。受理机构对申请材料进行核对，必要时进行入户调查。</w:t>
      </w:r>
    </w:p>
    <w:p>
      <w:pPr>
        <w:pStyle w:val="5"/>
        <w:numPr>
          <w:ilvl w:val="0"/>
          <w:numId w:val="5"/>
        </w:numPr>
        <w:tabs>
          <w:tab w:val="left" w:pos="1512"/>
        </w:tabs>
        <w:spacing w:before="6"/>
        <w:ind w:left="1511" w:hanging="422"/>
        <w:rPr>
          <w:sz w:val="28"/>
        </w:rPr>
      </w:pPr>
      <w:r>
        <w:rPr>
          <w:spacing w:val="-6"/>
          <w:sz w:val="28"/>
        </w:rPr>
        <w:t xml:space="preserve">公示。受理机构对初审符合条件的人员公示不少于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-3"/>
          <w:sz w:val="28"/>
        </w:rPr>
        <w:t xml:space="preserve"> </w:t>
      </w:r>
      <w:r>
        <w:rPr>
          <w:sz w:val="28"/>
        </w:rPr>
        <w:t>天。</w:t>
      </w:r>
    </w:p>
    <w:p>
      <w:pPr>
        <w:pStyle w:val="5"/>
        <w:numPr>
          <w:ilvl w:val="0"/>
          <w:numId w:val="5"/>
        </w:numPr>
        <w:tabs>
          <w:tab w:val="left" w:pos="1512"/>
        </w:tabs>
        <w:spacing w:before="4" w:line="242" w:lineRule="auto"/>
        <w:ind w:right="490" w:firstLine="559"/>
        <w:rPr>
          <w:sz w:val="28"/>
        </w:rPr>
      </w:pPr>
      <w:r>
        <w:rPr>
          <w:spacing w:val="-10"/>
          <w:sz w:val="28"/>
        </w:rPr>
        <w:t xml:space="preserve">认定。街道、乡镇公共就业服务平台对申请材料进行复核、认定 </w:t>
      </w:r>
      <w:r>
        <w:rPr>
          <w:spacing w:val="-3"/>
          <w:sz w:val="28"/>
        </w:rPr>
        <w:t>，录入省就业信息系统并在《就业创业证》上标注。</w:t>
      </w:r>
    </w:p>
    <w:p>
      <w:pPr>
        <w:pStyle w:val="5"/>
        <w:numPr>
          <w:ilvl w:val="0"/>
          <w:numId w:val="5"/>
        </w:numPr>
        <w:tabs>
          <w:tab w:val="left" w:pos="1512"/>
        </w:tabs>
        <w:spacing w:before="2"/>
        <w:ind w:left="1511" w:hanging="422"/>
        <w:rPr>
          <w:sz w:val="28"/>
        </w:rPr>
      </w:pPr>
      <w:r>
        <w:rPr>
          <w:spacing w:val="-3"/>
          <w:sz w:val="28"/>
        </w:rPr>
        <w:t>办结。由受理机构通知申请人认定结果。</w:t>
      </w:r>
    </w:p>
    <w:p>
      <w:pPr>
        <w:pStyle w:val="2"/>
        <w:spacing w:before="4"/>
        <w:ind w:left="1090"/>
      </w:pPr>
      <w:r>
        <w:rPr>
          <w:rFonts w:hint="eastAsia" w:ascii="黑体" w:eastAsia="黑体"/>
        </w:rPr>
        <w:t>六、办理时限：</w:t>
      </w:r>
      <w:r>
        <w:rPr>
          <w:rFonts w:ascii="Times New Roman" w:eastAsia="Times New Roman"/>
        </w:rPr>
        <w:t xml:space="preserve">7 </w:t>
      </w:r>
      <w:r>
        <w:t>个工作日</w:t>
      </w:r>
    </w:p>
    <w:p>
      <w:pPr>
        <w:pStyle w:val="2"/>
        <w:spacing w:before="4" w:line="244" w:lineRule="auto"/>
        <w:ind w:right="627" w:firstLine="559"/>
      </w:pPr>
      <w:r>
        <w:rPr>
          <w:rFonts w:hint="eastAsia" w:ascii="黑体" w:eastAsia="黑体"/>
          <w:spacing w:val="-14"/>
        </w:rPr>
        <w:t>七、办理地点：</w:t>
      </w:r>
      <w:r>
        <w:rPr>
          <w:spacing w:val="-7"/>
        </w:rPr>
        <w:t>常住地街道、乡镇人力资源社会保障基层服务平台受</w:t>
      </w:r>
      <w:r>
        <w:rPr>
          <w:spacing w:val="-3"/>
        </w:rPr>
        <w:t>街道、乡镇基层服务平台委托，社区服务平台可受理。</w:t>
      </w:r>
    </w:p>
    <w:p>
      <w:pPr>
        <w:pStyle w:val="2"/>
        <w:spacing w:line="355" w:lineRule="exact"/>
        <w:ind w:left="1090"/>
      </w:pPr>
      <w:r>
        <w:rPr>
          <w:rFonts w:hint="eastAsia" w:ascii="黑体" w:eastAsia="黑体"/>
          <w:spacing w:val="-3"/>
        </w:rPr>
        <w:t>八、办理结果告知方式：</w:t>
      </w:r>
      <w:r>
        <w:rPr>
          <w:spacing w:val="-2"/>
        </w:rPr>
        <w:t>窗口或网上</w:t>
      </w:r>
      <w:r>
        <w:t>（</w:t>
      </w:r>
      <w:r>
        <w:rPr>
          <w:spacing w:val="-20"/>
        </w:rPr>
        <w:t xml:space="preserve">手机 </w:t>
      </w:r>
      <w:r>
        <w:rPr>
          <w:rFonts w:ascii="Times New Roman" w:eastAsia="Times New Roman"/>
        </w:rPr>
        <w:t>APP</w:t>
      </w:r>
      <w:r>
        <w:t>）</w:t>
      </w:r>
    </w:p>
    <w:p>
      <w:pPr>
        <w:pStyle w:val="2"/>
        <w:spacing w:before="3"/>
        <w:ind w:left="1090"/>
      </w:pPr>
      <w:r>
        <w:rPr>
          <w:rFonts w:hint="eastAsia" w:ascii="黑体" w:eastAsia="黑体"/>
        </w:rPr>
        <w:t>九、咨询电话：</w:t>
      </w:r>
      <w:r>
        <w:rPr>
          <w:rFonts w:ascii="Times New Roman" w:eastAsia="Times New Roman"/>
        </w:rPr>
        <w:t xml:space="preserve">12333 </w:t>
      </w:r>
      <w:r>
        <w:t>或受理机构咨询电话</w:t>
      </w:r>
    </w:p>
    <w:p>
      <w:pPr>
        <w:pStyle w:val="2"/>
        <w:spacing w:before="4"/>
        <w:ind w:left="1810"/>
        <w:rPr>
          <w:rFonts w:hint="eastAsia" w:eastAsiaTheme="minorEastAsia"/>
        </w:rPr>
      </w:pPr>
    </w:p>
    <w:p>
      <w:pPr>
        <w:pStyle w:val="5"/>
        <w:tabs>
          <w:tab w:val="left" w:pos="1515"/>
        </w:tabs>
        <w:spacing w:before="68" w:line="242" w:lineRule="auto"/>
        <w:ind w:left="1090" w:right="628" w:firstLine="0"/>
        <w:rPr>
          <w:rFonts w:hint="eastAsia"/>
        </w:rPr>
      </w:pPr>
    </w:p>
    <w:p/>
    <w:sectPr>
      <w:pgSz w:w="11910" w:h="16840"/>
      <w:pgMar w:top="1580" w:right="900" w:bottom="1380" w:left="1000" w:header="0" w:footer="11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5A29"/>
    <w:multiLevelType w:val="multilevel"/>
    <w:tmpl w:val="150A5A29"/>
    <w:lvl w:ilvl="0" w:tentative="0">
      <w:start w:val="1"/>
      <w:numFmt w:val="decimal"/>
      <w:lvlText w:val="（%1）"/>
      <w:lvlJc w:val="left"/>
      <w:pPr>
        <w:ind w:left="1792" w:hanging="702"/>
        <w:jc w:val="left"/>
      </w:pPr>
      <w:rPr>
        <w:rFonts w:hint="default" w:ascii="仿宋_GB2312" w:hAnsi="仿宋_GB2312" w:eastAsia="仿宋_GB2312" w:cs="仿宋_GB2312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620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41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261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082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0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23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44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65" w:hanging="702"/>
      </w:pPr>
      <w:rPr>
        <w:rFonts w:hint="default"/>
        <w:lang w:val="zh-CN" w:eastAsia="zh-CN" w:bidi="zh-CN"/>
      </w:rPr>
    </w:lvl>
  </w:abstractNum>
  <w:abstractNum w:abstractNumId="1">
    <w:nsid w:val="2643233A"/>
    <w:multiLevelType w:val="multilevel"/>
    <w:tmpl w:val="2643233A"/>
    <w:lvl w:ilvl="0" w:tentative="0">
      <w:start w:val="1"/>
      <w:numFmt w:val="decimal"/>
      <w:lvlText w:val="%1."/>
      <w:lvlJc w:val="left"/>
      <w:pPr>
        <w:ind w:left="531" w:hanging="424"/>
        <w:jc w:val="left"/>
      </w:pPr>
      <w:rPr>
        <w:rFonts w:hint="default" w:ascii="Times New Roman" w:hAnsi="Times New Roman" w:eastAsia="Times New Roman" w:cs="Times New Roman"/>
        <w:spacing w:val="-14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8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13" w:hanging="424"/>
      </w:pPr>
      <w:rPr>
        <w:rFonts w:hint="default"/>
        <w:lang w:val="zh-CN" w:eastAsia="zh-CN" w:bidi="zh-CN"/>
      </w:rPr>
    </w:lvl>
  </w:abstractNum>
  <w:abstractNum w:abstractNumId="2">
    <w:nsid w:val="59AE2C3F"/>
    <w:multiLevelType w:val="multilevel"/>
    <w:tmpl w:val="59AE2C3F"/>
    <w:lvl w:ilvl="0" w:tentative="0">
      <w:start w:val="1"/>
      <w:numFmt w:val="decimal"/>
      <w:lvlText w:val="%1."/>
      <w:lvlJc w:val="left"/>
      <w:pPr>
        <w:ind w:left="1511" w:hanging="42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68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17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65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4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63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11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60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09" w:hanging="421"/>
      </w:pPr>
      <w:rPr>
        <w:rFonts w:hint="default"/>
        <w:lang w:val="zh-CN" w:eastAsia="zh-CN" w:bidi="zh-CN"/>
      </w:rPr>
    </w:lvl>
  </w:abstractNum>
  <w:abstractNum w:abstractNumId="3">
    <w:nsid w:val="5BB74A5F"/>
    <w:multiLevelType w:val="multilevel"/>
    <w:tmpl w:val="5BB74A5F"/>
    <w:lvl w:ilvl="0" w:tentative="0">
      <w:start w:val="1"/>
      <w:numFmt w:val="decimal"/>
      <w:lvlText w:val="%1."/>
      <w:lvlJc w:val="left"/>
      <w:pPr>
        <w:ind w:left="1441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96" w:hanging="3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3" w:hanging="3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09" w:hanging="3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66" w:hanging="3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3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79" w:hanging="3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36" w:hanging="3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93" w:hanging="351"/>
      </w:pPr>
      <w:rPr>
        <w:rFonts w:hint="default"/>
        <w:lang w:val="zh-CN" w:eastAsia="zh-CN" w:bidi="zh-CN"/>
      </w:rPr>
    </w:lvl>
  </w:abstractNum>
  <w:abstractNum w:abstractNumId="4">
    <w:nsid w:val="5E9F3349"/>
    <w:multiLevelType w:val="multilevel"/>
    <w:tmpl w:val="5E9F3349"/>
    <w:lvl w:ilvl="0" w:tentative="0">
      <w:start w:val="1"/>
      <w:numFmt w:val="decimal"/>
      <w:lvlText w:val="%1."/>
      <w:lvlJc w:val="left"/>
      <w:pPr>
        <w:ind w:left="531" w:hanging="424"/>
        <w:jc w:val="left"/>
      </w:pPr>
      <w:rPr>
        <w:rFonts w:hint="default" w:ascii="Times New Roman" w:hAnsi="Times New Roman" w:eastAsia="Times New Roman" w:cs="Times New Roman"/>
        <w:spacing w:val="-7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8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7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1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13" w:hanging="424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699D6778"/>
    <w:rsid w:val="3D5B726E"/>
    <w:rsid w:val="4EEC1BBB"/>
    <w:rsid w:val="699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531"/>
    </w:pPr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531" w:firstLine="559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2022-11-12T01:40:00Z</dcterms:created>
  <dc:creator>一人一世爱一倩</dc:creator>
  <cp:lastModifiedBy>一人一世爱一倩</cp:lastModifiedBy>
  <dcterms:modified xsi:type="dcterms:W3CDTF">2022-11-12T01:40:58Z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A75663DEEB49440B899DDE683EC3056C</vt:lpwstr>
  </property>
</Properties>
</file>