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《禹州市水预算管理办法（试行）》</w:t>
      </w:r>
      <w:r>
        <w:rPr>
          <w:rFonts w:hint="eastAsia" w:ascii="方正小标宋简体" w:hAnsi="方正小标宋简体" w:eastAsia="方正小标宋简体" w:cs="方正小标宋简体"/>
          <w:sz w:val="44"/>
          <w:szCs w:val="44"/>
          <w:lang w:eastAsia="zh-CN"/>
        </w:rPr>
        <w:t>（征求意见稿）的起草</w:t>
      </w:r>
      <w:r>
        <w:rPr>
          <w:rFonts w:hint="eastAsia" w:ascii="方正小标宋简体" w:hAnsi="方正小标宋简体" w:eastAsia="方正小标宋简体" w:cs="方正小标宋简体"/>
          <w:sz w:val="44"/>
          <w:szCs w:val="44"/>
        </w:rPr>
        <w:t>说明</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4" w:name="_GoBack"/>
      <w:bookmarkEnd w:id="4"/>
    </w:p>
    <w:p>
      <w:pPr>
        <w:pStyle w:val="3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1"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《禹州市水预算管理办法（试行）》出台背景</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2024年5月13日，水利部印发“水利部关于印发《水预算管理试点方案》的通知”（水节约〔2024〕132号）文件，要求各省区市探索开展水预算管理试点。2024 年5月 24 日，河南省水利厅印发“关于开展</w:t>
      </w:r>
      <w:bookmarkStart w:id="0" w:name="_Hlk195720226"/>
      <w:r>
        <w:rPr>
          <w:rFonts w:hint="eastAsia" w:ascii="仿宋_GB2312" w:hAnsi="仿宋_GB2312" w:eastAsia="仿宋_GB2312" w:cs="仿宋_GB2312"/>
          <w:sz w:val="32"/>
          <w:szCs w:val="32"/>
        </w:rPr>
        <w:t>水预算管理试点</w:t>
      </w:r>
      <w:bookmarkEnd w:id="0"/>
      <w:r>
        <w:rPr>
          <w:rFonts w:hint="eastAsia" w:ascii="仿宋_GB2312" w:hAnsi="仿宋_GB2312" w:eastAsia="仿宋_GB2312" w:cs="仿宋_GB2312"/>
          <w:sz w:val="32"/>
          <w:szCs w:val="32"/>
        </w:rPr>
        <w:t>申报工作的通知”，要求各市区水利局组织申报水预算管理试点。2024年7月25日，水利部公布全国水预算管理试点地区，禹州市成为全国两个县域试点之一。</w:t>
      </w:r>
    </w:p>
    <w:p>
      <w:pPr>
        <w:pStyle w:val="3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1"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二、编制必要性</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水资源管理，强化水资源总量和强度双控制，探索利用市场机制合理配置水资源指标，落实最严格水资源管理制度，创新和改进水资源管理方式，建立取水许可、计划用水和定额管理相结合的统一预算管理机制，促进水资源节约集约利用，科学指导禹州市水预算管理工作制度化、规范化开展，结合禹州市实际，编制了《禹州市水预算管理办法（试行）》。</w:t>
      </w:r>
    </w:p>
    <w:p>
      <w:pPr>
        <w:pStyle w:val="30"/>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70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编制依据</w:t>
      </w:r>
    </w:p>
    <w:p>
      <w:pPr>
        <w:pStyle w:val="3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法律法规</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《中华人民共和国水法》；</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《节约用水条例》；</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《河南省节约用水条例》；</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《河南省取水许可管理办法》等法律法规，</w:t>
      </w:r>
    </w:p>
    <w:p>
      <w:pPr>
        <w:pStyle w:val="3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（二）规范性文件</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部“水利部关于印发《水预算管理试点方案》的通知”（水节约〔2024〕132号），在“推进水预算管理制度建设”中提出，“试点地区应结合试点工作需要，制定出台水预算管理试行指导意见或实施办法，为开展水预算管理试点提供政策依据和工作保障。”</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《河南省水利厅关于印发河南省水利行政许可事项实施规范的通知（豫水政〔2024〕9号）》； </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《河南省水利厅关于加快推进水资源管理和节水管理规范化建设的通知（豫水资〔2023〕10号）》；</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《河南省水利厅关于印发＜河南省计划用水管理办法＞的通知</w:t>
      </w:r>
      <w:bookmarkStart w:id="1" w:name="OLE_LINK5"/>
      <w:r>
        <w:rPr>
          <w:rFonts w:hint="eastAsia" w:ascii="仿宋_GB2312" w:hAnsi="仿宋_GB2312" w:eastAsia="仿宋_GB2312" w:cs="仿宋_GB2312"/>
          <w:sz w:val="32"/>
          <w:szCs w:val="32"/>
        </w:rPr>
        <w:t>（豫水政资〔2017〕84号）</w:t>
      </w:r>
      <w:bookmarkEnd w:id="1"/>
      <w:r>
        <w:rPr>
          <w:rFonts w:hint="eastAsia" w:ascii="仿宋_GB2312" w:hAnsi="仿宋_GB2312" w:eastAsia="仿宋_GB2312" w:cs="仿宋_GB2312"/>
          <w:sz w:val="32"/>
          <w:szCs w:val="32"/>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《河南省水利厅关于印发《河南省地下水管控指标方案》的函（豫水资函〔2024〕7号）》；</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《河南省水利厅关于加大非常规水源利用严格取水许可管理工作的通知（豫水资〔2021〕12号）》；</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《国家税务总局河南省税务局 河南省财政厅 河南省水利厅关于印发《河南省水资源税征收管理工作规程（试行）》的通知</w:t>
      </w:r>
      <w:bookmarkStart w:id="2" w:name="OLE_LINK6"/>
      <w:r>
        <w:rPr>
          <w:rFonts w:hint="eastAsia" w:ascii="仿宋_GB2312" w:hAnsi="仿宋_GB2312" w:eastAsia="仿宋_GB2312" w:cs="仿宋_GB2312"/>
          <w:sz w:val="32"/>
          <w:szCs w:val="32"/>
        </w:rPr>
        <w:t>（豫税发〔2025〕3号）</w:t>
      </w:r>
      <w:bookmarkEnd w:id="2"/>
      <w:r>
        <w:rPr>
          <w:rFonts w:hint="eastAsia" w:ascii="仿宋_GB2312" w:hAnsi="仿宋_GB2312" w:eastAsia="仿宋_GB2312" w:cs="仿宋_GB2312"/>
          <w:sz w:val="32"/>
          <w:szCs w:val="32"/>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标准规范</w:t>
      </w:r>
    </w:p>
    <w:p>
      <w:pPr>
        <w:pStyle w:val="30"/>
        <w:keepNext w:val="0"/>
        <w:keepLines w:val="0"/>
        <w:pageBreakBefore w:val="0"/>
        <w:widowControl w:val="0"/>
        <w:kinsoku/>
        <w:wordWrap/>
        <w:overflowPunct/>
        <w:topLinePunct w:val="0"/>
        <w:autoSpaceDE/>
        <w:autoSpaceDN/>
        <w:bidi w:val="0"/>
        <w:adjustRightInd/>
        <w:snapToGrid/>
        <w:spacing w:after="0" w:line="600" w:lineRule="exact"/>
        <w:ind w:left="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河南省地方标准《工业与城镇生活用水定额（DB41/T 385）》《农业与农村生活用水定额（DB41/T 958）》；</w:t>
      </w:r>
    </w:p>
    <w:p>
      <w:pPr>
        <w:pStyle w:val="3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1"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三、编制、审批机构与执行时间</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sz w:val="32"/>
          <w:szCs w:val="32"/>
        </w:rPr>
      </w:pPr>
      <w:bookmarkStart w:id="3" w:name="OLE_LINK4"/>
      <w:r>
        <w:rPr>
          <w:rFonts w:hint="eastAsia" w:ascii="仿宋_GB2312" w:hAnsi="仿宋_GB2312" w:eastAsia="仿宋_GB2312" w:cs="仿宋_GB2312"/>
          <w:sz w:val="32"/>
          <w:szCs w:val="32"/>
        </w:rPr>
        <w:t>《禹州市水预算管理办法（试行）》</w:t>
      </w:r>
      <w:bookmarkEnd w:id="3"/>
      <w:r>
        <w:rPr>
          <w:rFonts w:hint="eastAsia" w:ascii="仿宋_GB2312" w:hAnsi="仿宋_GB2312" w:eastAsia="仿宋_GB2312" w:cs="仿宋_GB2312"/>
          <w:sz w:val="32"/>
          <w:szCs w:val="32"/>
        </w:rPr>
        <w:t>由禹州市水利局负责编制，禹州市人民政府审定批准。</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《禹州市水预算管理办法（试行）》自发布之日开始执行。</w:t>
      </w: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sz w:val="32"/>
          <w:szCs w:val="32"/>
        </w:rPr>
      </w:pPr>
    </w:p>
    <w:p>
      <w:pPr>
        <w:pStyle w:val="30"/>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2025年7月11日</w:t>
      </w:r>
    </w:p>
    <w:sectPr>
      <w:pgSz w:w="11906" w:h="16838"/>
      <w:pgMar w:top="1587"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URW Bookman">
    <w:altName w:val="Segoe Print"/>
    <w:panose1 w:val="00000400000000000000"/>
    <w:charset w:val="00"/>
    <w:family w:val="auto"/>
    <w:pitch w:val="default"/>
    <w:sig w:usb0="00000000" w:usb1="00000000" w:usb2="00000000" w:usb3="00000000" w:csb0="6000009F"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1F30"/>
    <w:multiLevelType w:val="multilevel"/>
    <w:tmpl w:val="17CC1F30"/>
    <w:lvl w:ilvl="0" w:tentative="0">
      <w:start w:val="1"/>
      <w:numFmt w:val="japaneseCounting"/>
      <w:lvlText w:val="%1、"/>
      <w:lvlJc w:val="left"/>
      <w:pPr>
        <w:ind w:left="2000" w:hanging="720"/>
      </w:pPr>
      <w:rPr>
        <w:rFonts w:hint="default"/>
      </w:rPr>
    </w:lvl>
    <w:lvl w:ilvl="1" w:tentative="0">
      <w:start w:val="1"/>
      <w:numFmt w:val="decimal"/>
      <w:lvlText w:val="%2."/>
      <w:lvlJc w:val="left"/>
      <w:pPr>
        <w:ind w:left="2080" w:hanging="360"/>
      </w:pPr>
      <w:rPr>
        <w:rFonts w:hint="default"/>
      </w:rPr>
    </w:lvl>
    <w:lvl w:ilvl="2" w:tentative="0">
      <w:start w:val="1"/>
      <w:numFmt w:val="lowerRoman"/>
      <w:lvlText w:val="%3."/>
      <w:lvlJc w:val="right"/>
      <w:pPr>
        <w:ind w:left="2600" w:hanging="440"/>
      </w:pPr>
    </w:lvl>
    <w:lvl w:ilvl="3" w:tentative="0">
      <w:start w:val="1"/>
      <w:numFmt w:val="decimal"/>
      <w:lvlText w:val="%4."/>
      <w:lvlJc w:val="left"/>
      <w:pPr>
        <w:ind w:left="3040" w:hanging="440"/>
      </w:pPr>
    </w:lvl>
    <w:lvl w:ilvl="4" w:tentative="0">
      <w:start w:val="1"/>
      <w:numFmt w:val="lowerLetter"/>
      <w:lvlText w:val="%5)"/>
      <w:lvlJc w:val="left"/>
      <w:pPr>
        <w:ind w:left="3480" w:hanging="440"/>
      </w:pPr>
    </w:lvl>
    <w:lvl w:ilvl="5" w:tentative="0">
      <w:start w:val="1"/>
      <w:numFmt w:val="lowerRoman"/>
      <w:lvlText w:val="%6."/>
      <w:lvlJc w:val="right"/>
      <w:pPr>
        <w:ind w:left="3920" w:hanging="440"/>
      </w:pPr>
    </w:lvl>
    <w:lvl w:ilvl="6" w:tentative="0">
      <w:start w:val="1"/>
      <w:numFmt w:val="decimal"/>
      <w:lvlText w:val="%7."/>
      <w:lvlJc w:val="left"/>
      <w:pPr>
        <w:ind w:left="4360" w:hanging="440"/>
      </w:pPr>
    </w:lvl>
    <w:lvl w:ilvl="7" w:tentative="0">
      <w:start w:val="1"/>
      <w:numFmt w:val="lowerLetter"/>
      <w:lvlText w:val="%8)"/>
      <w:lvlJc w:val="left"/>
      <w:pPr>
        <w:ind w:left="4800" w:hanging="440"/>
      </w:pPr>
    </w:lvl>
    <w:lvl w:ilvl="8" w:tentative="0">
      <w:start w:val="1"/>
      <w:numFmt w:val="lowerRoman"/>
      <w:lvlText w:val="%9."/>
      <w:lvlJc w:val="right"/>
      <w:pPr>
        <w:ind w:left="52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41"/>
    <w:rsid w:val="00004258"/>
    <w:rsid w:val="00005BCC"/>
    <w:rsid w:val="00010AA3"/>
    <w:rsid w:val="0001719F"/>
    <w:rsid w:val="00021556"/>
    <w:rsid w:val="0009490F"/>
    <w:rsid w:val="00097222"/>
    <w:rsid w:val="000A1B24"/>
    <w:rsid w:val="00127870"/>
    <w:rsid w:val="00147D3B"/>
    <w:rsid w:val="0015104A"/>
    <w:rsid w:val="00151750"/>
    <w:rsid w:val="00151DF3"/>
    <w:rsid w:val="00190C91"/>
    <w:rsid w:val="001B0F58"/>
    <w:rsid w:val="001C3072"/>
    <w:rsid w:val="001C528F"/>
    <w:rsid w:val="001C72C6"/>
    <w:rsid w:val="001E6821"/>
    <w:rsid w:val="001E7066"/>
    <w:rsid w:val="001F26CF"/>
    <w:rsid w:val="0023120D"/>
    <w:rsid w:val="0025582B"/>
    <w:rsid w:val="002673CF"/>
    <w:rsid w:val="00296506"/>
    <w:rsid w:val="002C361A"/>
    <w:rsid w:val="0030382A"/>
    <w:rsid w:val="00320A6C"/>
    <w:rsid w:val="00340935"/>
    <w:rsid w:val="00341C32"/>
    <w:rsid w:val="00341D0C"/>
    <w:rsid w:val="00352646"/>
    <w:rsid w:val="00385555"/>
    <w:rsid w:val="00394218"/>
    <w:rsid w:val="00397E0F"/>
    <w:rsid w:val="003D1025"/>
    <w:rsid w:val="004021A6"/>
    <w:rsid w:val="004361C9"/>
    <w:rsid w:val="004377C4"/>
    <w:rsid w:val="004505C8"/>
    <w:rsid w:val="00473429"/>
    <w:rsid w:val="00485C6B"/>
    <w:rsid w:val="00495D85"/>
    <w:rsid w:val="004A3E49"/>
    <w:rsid w:val="004F6518"/>
    <w:rsid w:val="00503EC1"/>
    <w:rsid w:val="005066C7"/>
    <w:rsid w:val="0051447D"/>
    <w:rsid w:val="00520E41"/>
    <w:rsid w:val="00537880"/>
    <w:rsid w:val="00540796"/>
    <w:rsid w:val="00543532"/>
    <w:rsid w:val="00596618"/>
    <w:rsid w:val="005C10A8"/>
    <w:rsid w:val="005C42A4"/>
    <w:rsid w:val="005D32FB"/>
    <w:rsid w:val="005D724A"/>
    <w:rsid w:val="005E12DF"/>
    <w:rsid w:val="005E45AC"/>
    <w:rsid w:val="005F237C"/>
    <w:rsid w:val="00620516"/>
    <w:rsid w:val="00626525"/>
    <w:rsid w:val="006332F1"/>
    <w:rsid w:val="0065440B"/>
    <w:rsid w:val="00663EBC"/>
    <w:rsid w:val="006762A4"/>
    <w:rsid w:val="006A1750"/>
    <w:rsid w:val="006C760B"/>
    <w:rsid w:val="007024B3"/>
    <w:rsid w:val="00702AAE"/>
    <w:rsid w:val="00714D99"/>
    <w:rsid w:val="007363BF"/>
    <w:rsid w:val="00751FC5"/>
    <w:rsid w:val="00761C9C"/>
    <w:rsid w:val="007746F5"/>
    <w:rsid w:val="0077505D"/>
    <w:rsid w:val="0077670F"/>
    <w:rsid w:val="007841D9"/>
    <w:rsid w:val="007C4152"/>
    <w:rsid w:val="007D3DBA"/>
    <w:rsid w:val="00807AD1"/>
    <w:rsid w:val="0081230D"/>
    <w:rsid w:val="00814488"/>
    <w:rsid w:val="00820D94"/>
    <w:rsid w:val="0086146C"/>
    <w:rsid w:val="008A181B"/>
    <w:rsid w:val="008B0AAD"/>
    <w:rsid w:val="008C1DFD"/>
    <w:rsid w:val="00911F3E"/>
    <w:rsid w:val="009363FB"/>
    <w:rsid w:val="00946E2E"/>
    <w:rsid w:val="00960616"/>
    <w:rsid w:val="00960A70"/>
    <w:rsid w:val="00980D90"/>
    <w:rsid w:val="009D7127"/>
    <w:rsid w:val="009E524A"/>
    <w:rsid w:val="009E64B8"/>
    <w:rsid w:val="00A12919"/>
    <w:rsid w:val="00A61BC9"/>
    <w:rsid w:val="00A66EDC"/>
    <w:rsid w:val="00A729C1"/>
    <w:rsid w:val="00AC77AB"/>
    <w:rsid w:val="00B30945"/>
    <w:rsid w:val="00B41C4C"/>
    <w:rsid w:val="00B536CB"/>
    <w:rsid w:val="00B574AA"/>
    <w:rsid w:val="00B6706B"/>
    <w:rsid w:val="00B813D2"/>
    <w:rsid w:val="00BA22D6"/>
    <w:rsid w:val="00C004BB"/>
    <w:rsid w:val="00C046D5"/>
    <w:rsid w:val="00C05BFD"/>
    <w:rsid w:val="00C55D87"/>
    <w:rsid w:val="00C6233A"/>
    <w:rsid w:val="00C93173"/>
    <w:rsid w:val="00D03E4B"/>
    <w:rsid w:val="00D33960"/>
    <w:rsid w:val="00D34503"/>
    <w:rsid w:val="00D624D4"/>
    <w:rsid w:val="00D8726C"/>
    <w:rsid w:val="00DC6615"/>
    <w:rsid w:val="00E0195A"/>
    <w:rsid w:val="00E063DE"/>
    <w:rsid w:val="00E6658D"/>
    <w:rsid w:val="00E82698"/>
    <w:rsid w:val="00E94948"/>
    <w:rsid w:val="00EA0A89"/>
    <w:rsid w:val="00EB2D17"/>
    <w:rsid w:val="00EC2FBC"/>
    <w:rsid w:val="00ED0B59"/>
    <w:rsid w:val="00EE230B"/>
    <w:rsid w:val="00EF3666"/>
    <w:rsid w:val="00EF75C1"/>
    <w:rsid w:val="00F46FE9"/>
    <w:rsid w:val="00F614DC"/>
    <w:rsid w:val="00F7182B"/>
    <w:rsid w:val="00F902D8"/>
    <w:rsid w:val="00F94817"/>
    <w:rsid w:val="00FA5EAB"/>
    <w:rsid w:val="00FA6830"/>
    <w:rsid w:val="00FE10CA"/>
    <w:rsid w:val="00FF6CBC"/>
    <w:rsid w:val="10912D70"/>
    <w:rsid w:val="18AE4E2D"/>
    <w:rsid w:val="1B3F2E2B"/>
    <w:rsid w:val="24E35860"/>
    <w:rsid w:val="3B9E4F5D"/>
    <w:rsid w:val="3C6D75E4"/>
    <w:rsid w:val="EDFB8165"/>
    <w:rsid w:val="FDE7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cstheme="majorBidi"/>
      <w:color w:val="2F5597" w:themeColor="accent1" w:themeShade="BF"/>
      <w:sz w:val="28"/>
      <w:szCs w:val="28"/>
    </w:rPr>
  </w:style>
  <w:style w:type="character" w:customStyle="1" w:styleId="21">
    <w:name w:val="标题 5 字符"/>
    <w:basedOn w:val="15"/>
    <w:link w:val="6"/>
    <w:semiHidden/>
    <w:qFormat/>
    <w:uiPriority w:val="9"/>
    <w:rPr>
      <w:rFonts w:cstheme="majorBidi"/>
      <w:color w:val="2F5597" w:themeColor="accent1" w:themeShade="BF"/>
      <w:sz w:val="24"/>
    </w:rPr>
  </w:style>
  <w:style w:type="character" w:customStyle="1" w:styleId="22">
    <w:name w:val="标题 6 字符"/>
    <w:basedOn w:val="15"/>
    <w:link w:val="7"/>
    <w:semiHidden/>
    <w:qFormat/>
    <w:uiPriority w:val="9"/>
    <w:rPr>
      <w:rFonts w:cstheme="majorBidi"/>
      <w:b/>
      <w:bCs/>
      <w:color w:val="2F5597"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customStyle="1"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customStyle="1"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 w:type="character" w:customStyle="1" w:styleId="35">
    <w:name w:val="页眉 字符"/>
    <w:basedOn w:val="15"/>
    <w:link w:val="12"/>
    <w:qFormat/>
    <w:uiPriority w:val="99"/>
    <w:rPr>
      <w:sz w:val="18"/>
      <w:szCs w:val="18"/>
    </w:rPr>
  </w:style>
  <w:style w:type="character" w:customStyle="1" w:styleId="36">
    <w:name w:val="页脚 字符"/>
    <w:basedOn w:val="15"/>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1014</Words>
  <Characters>1071</Characters>
  <Lines>26</Lines>
  <Paragraphs>23</Paragraphs>
  <ScaleCrop>false</ScaleCrop>
  <LinksUpToDate>false</LinksUpToDate>
  <CharactersWithSpaces>1079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2025-07-09T10:47:00Z</dcterms:created>
  <dc:creator>福贵 黄</dc:creator>
  <cp:lastModifiedBy>Administrator</cp:lastModifiedBy>
  <dcterms:modified xsi:type="dcterms:W3CDTF">2025-07-11T07:46:12Z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eyJoZGlkIjoiNmQ2MmU0ZmI5MzM3YTFlMzAxMWQwZDQ4NGY0NzY4OTAiLCJ1c2VySWQiOiIzMDQ0ODc0MTYifQ==</vt:lpwstr>
  </property>
  <property fmtid="{D5CDD505-2E9C-101B-9397-08002B2CF9AE}" pid="3" name="KSOProductBuildVer">
    <vt:lpwstr>2052-10.8.0.6206</vt:lpwstr>
  </property>
  <property fmtid="{D5CDD505-2E9C-101B-9397-08002B2CF9AE}" pid="4" name="ICV">
    <vt:lpwstr>4D1F96A94D14434AAC1B9A36364AC746_12</vt:lpwstr>
  </property>
</Properties>
</file>