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关于禹州市2023年报废补贴</w:t>
      </w:r>
    </w:p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执行预算资金占比的公示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农业农村部办公厅、财政部办公厅、商务部办公厅《农业机械报废更新补贴实施指导意见》（农办机〔2020〕2号）要求和河南省农业农村厅、河南省财政厅、河南省商务厅共同制定的《河南省农业机械报废更新补贴实施方案》，为切实做好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农业机械报废更新补贴工作，引导我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农业机械报废更新，加快淘汰老旧高能耗农业机械，优化农机装备结构，保障农机安全生产。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我市报废补贴资金在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农机购置补贴资金中包含，为严把安全生产关，我中心决定让禹州市鸿安农机维修中心进行拆解作业，总报废补贴额不得超过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机具种类按照禹州市农机报废更新实施方案所规定机具执行。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禹州市农业机械技术中心</w:t>
      </w:r>
    </w:p>
    <w:p>
      <w:pPr>
        <w:ind w:firstLine="640" w:firstLineChars="20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2023年6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月15日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00000000"/>
    <w:rsid w:val="0C9B133B"/>
    <w:rsid w:val="0D5A6598"/>
    <w:rsid w:val="3D813F44"/>
    <w:rsid w:val="40E53BB7"/>
    <w:rsid w:val="761335AE"/>
    <w:rsid w:val="7CC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307</Characters>
  <Lines>0</Lines>
  <Paragraphs>0</Paragraphs>
  <TotalTime>17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2021-12-14T06:00:00Z</dcterms:created>
  <dc:creator>Administrator</dc:creator>
  <cp:lastModifiedBy>信天翁</cp:lastModifiedBy>
  <cp:lastPrinted>2021-12-14T06:10:00Z</cp:lastPrinted>
  <dcterms:modified xsi:type="dcterms:W3CDTF">2024-06-06T04:11:45Z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B22CF75E98224BD69E87577F3A4DC62A</vt:lpwstr>
  </property>
</Properties>
</file>