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center"/>
        <w:textAlignment w:val="baseline"/>
        <w:rPr>
          <w:rFonts w:ascii="PingFang-SC-Regular" w:hAnsi="PingFang-SC-Regular" w:eastAsia="PingFang-SC-Regular" w:cs="PingFang-SC-Regular"/>
          <w:i w:val="0"/>
          <w:iCs w:val="0"/>
          <w:caps w:val="0"/>
          <w:color w:val="333333"/>
          <w:spacing w:val="0"/>
          <w:sz w:val="21"/>
          <w:szCs w:val="21"/>
        </w:rPr>
      </w:pPr>
      <w:r>
        <w:rPr>
          <w:rFonts w:hint="eastAsia" w:ascii="宋体" w:hAnsi="宋体" w:eastAsia="宋体" w:cs="宋体"/>
          <w:i w:val="0"/>
          <w:iCs w:val="0"/>
          <w:caps w:val="0"/>
          <w:color w:val="333333"/>
          <w:spacing w:val="0"/>
          <w:sz w:val="44"/>
          <w:szCs w:val="44"/>
          <w:bdr w:val="none" w:color="auto" w:sz="0" w:space="0"/>
          <w:shd w:val="clear" w:fill="FFFFFF"/>
          <w:vertAlign w:val="baseline"/>
        </w:rPr>
        <w:t>中华人民共和国发票管理办法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center"/>
        <w:textAlignment w:val="baseline"/>
        <w:rPr>
          <w:rFonts w:hint="default" w:ascii="PingFang-SC-Regular" w:hAnsi="PingFang-SC-Regular" w:eastAsia="PingFang-SC-Regular" w:cs="PingFang-SC-Regular"/>
          <w:i w:val="0"/>
          <w:iCs w:val="0"/>
          <w:caps w:val="0"/>
          <w:color w:val="333333"/>
          <w:spacing w:val="0"/>
          <w:sz w:val="21"/>
          <w:szCs w:val="21"/>
        </w:rPr>
      </w:pPr>
      <w:r>
        <w:rPr>
          <w:rFonts w:hint="eastAsia" w:ascii="宋体" w:hAnsi="宋体" w:eastAsia="宋体" w:cs="宋体"/>
          <w:i w:val="0"/>
          <w:iCs w:val="0"/>
          <w:caps w:val="0"/>
          <w:color w:val="333333"/>
          <w:spacing w:val="0"/>
          <w:sz w:val="44"/>
          <w:szCs w:val="4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textAlignment w:val="baseline"/>
        <w:rPr>
          <w:rFonts w:hint="default" w:ascii="PingFang-SC-Regular" w:hAnsi="PingFang-SC-Regular" w:eastAsia="PingFang-SC-Regular" w:cs="PingFang-SC-Regular"/>
          <w:i w:val="0"/>
          <w:iCs w:val="0"/>
          <w:caps w:val="0"/>
          <w:color w:val="333333"/>
          <w:spacing w:val="0"/>
          <w:sz w:val="21"/>
          <w:szCs w:val="21"/>
        </w:rPr>
      </w:pPr>
      <w:r>
        <w:rPr>
          <w:rFonts w:ascii="楷体_GB2312" w:hAnsi="PingFang-SC-Regular" w:eastAsia="楷体_GB2312" w:cs="楷体_GB2312"/>
          <w:i w:val="0"/>
          <w:iCs w:val="0"/>
          <w:caps w:val="0"/>
          <w:color w:val="333333"/>
          <w:spacing w:val="0"/>
          <w:sz w:val="32"/>
          <w:szCs w:val="32"/>
          <w:bdr w:val="none" w:color="auto" w:sz="0" w:space="0"/>
          <w:shd w:val="clear" w:fill="FFFFFF"/>
          <w:vertAlign w:val="baseline"/>
        </w:rPr>
        <w:t>(</w:t>
      </w:r>
      <w:r>
        <w:rPr>
          <w:rFonts w:hint="default" w:ascii="楷体_GB2312" w:hAnsi="PingFang-SC-Regular" w:eastAsia="楷体_GB2312" w:cs="楷体_GB2312"/>
          <w:i w:val="0"/>
          <w:iCs w:val="0"/>
          <w:caps w:val="0"/>
          <w:color w:val="333333"/>
          <w:spacing w:val="0"/>
          <w:sz w:val="32"/>
          <w:szCs w:val="32"/>
          <w:bdr w:val="none" w:color="auto" w:sz="0" w:space="0"/>
          <w:shd w:val="clear" w:fill="FFFFFF"/>
          <w:vertAlign w:val="baseline"/>
        </w:rPr>
        <w:t>1993年12月12日国务院批准　1993年12月23日财政部令第6号发布　根据2010年12月20日《国务院关于修改〈中华人民共和国发票管理办法〉的决定》第一次修订　根据2019年3月2日《国务院关于修改部分行政法规的决定》第二次修订　根据2023年7月20日《国务院关于修改和废止部分行政法规的决定》第三次修订)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第一条　</w:t>
      </w:r>
      <w:r>
        <w:rPr>
          <w:rFonts w:ascii="仿宋_GB2312" w:hAnsi="PingFang-SC-Regular" w:eastAsia="仿宋_GB2312" w:cs="仿宋_GB2312"/>
          <w:i w:val="0"/>
          <w:iCs w:val="0"/>
          <w:caps w:val="0"/>
          <w:color w:val="333333"/>
          <w:spacing w:val="0"/>
          <w:sz w:val="32"/>
          <w:szCs w:val="32"/>
          <w:bdr w:val="none" w:color="auto" w:sz="0" w:space="0"/>
          <w:shd w:val="clear" w:fill="FFFFFF"/>
          <w:vertAlign w:val="baseline"/>
        </w:rPr>
        <w:t>为了加强发票管理和财务监督，保障国家税收收入，维护经济秩序，根据《中华人民共和国税收征收管理法》，制定本办法。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在中华人民共和国境内印制、领用、开具、取得、保管、缴销发票的单位和个人(以下称印制、使用发票的单位和个人)，必须遵守本办法。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本办法所称发票，是指在购销商品、提供或者接受服务以及从事其他经营活动中，开具、收取的收付款凭证。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发票包括纸质发票和电子发票。电子发票与纸质发票具有同等法律效力。国家积极推广使用电子发票。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发票管理工作应当坚持和加强党的领导，为经济社会发展服务。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国务院税务主管部门统一负责全国的发票管理工作。省、自治区、直辖市税务机关依据职责做好本行政区域内的发票管理工作。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财政、审计、市场监督管理、公安等有关部门在各自的职责范围内，配合税务机关做好发票管理工作。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发票的种类、联次、内容、编码规则、数据标准、使用范围等具体管理办法由国务院税务主管部门规定。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对违反发票管理法规的行为，任何单位和个人可以举报。税务机关应当为检举人保密，并酌情给予奖励。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第二章　发票的印制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增值税专用发票由国务院税务主管部门确定的企业印制；其他发票，按照国务院税务主管部门的规定，由省、自治区、直辖市税务机关确定的企业印制。禁止私自印制、伪造、变造发票。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印制发票的企业应当具备下列条件：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(一)取得印刷经营许可证和营业执照；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(二)设备、技术水平能够满足印制发票的需要；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(三)有健全的财务制度和严格的质量监督、安全管理、保密制度。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税务机关应当按照政府采购有关规定确定印制发票的企业。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印制发票应当使用国务院税务主管部门确定的全国统一的发票防伪专用品。禁止非法制造发票防伪专用品。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发票应当套印全国统一发票监制章。全国统一发票监制章的式样和发票版面印刷的要求，由国务院税务主管部门规定。发票监制章由省、自治区、直辖市税务机关制作。禁止伪造发票监制章。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发票实行不定期换版制度。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印制发票的企业按照税务机关的统一规定，建立发票印制管理制度和保管措施。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发票监制章和发票防伪专用品的使用和管理实行专人负责制度。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印制发票的企业必须按照税务机关确定的式样和数量印制发票。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发票应当使用中文印制。民族自治地方的发票，可以加印当地一种通用的民族文字。有实际需要的，也可以同时使用中外两种文字印制。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各省、自治区、直辖市内的单位和个人使用的发票，除增值税专用发票外，应当在本省、自治区、直辖市内印制；确有必要到外省、自治区、直辖市印制的，应当由省、自治区、直辖市税务机关商印制地省、自治区、直辖市税务机关同意后确定印制发票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禁止在境外印制发票。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第三章　发票的领用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需要领用发票的单位和个人，应当持设立登记证件或者税务登记证件，以及经办人身份证明，向主管税务机关办理发票领用手续。领用纸质发票的，还应当提供按照国务院税务主管部门规定式样制作的发票专用章的印模。主管税务机关根据领用单位和个人的经营范围、规模和风险等级，在5个工作日内确认领用发票的种类、数量以及领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单位和个人领用发票时，应当按照税务机关的规定报告发票使用情况，税务机关应当按照规定进行查验。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需要临时使用发票的单位和个人，可以凭购销商品、提供或者接受服务以及从事其他经营活动的书面证明、经办人身份证明，直接向经营地税务机关申请代开发票。依照税收法律、行政法规规定应当缴纳税款的，税务机关应当先征收税款，再开具发票。税务机关根据发票管理的需要，可以按照国务院税务主管部门的规定委托其他单位代开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禁止非法代开发票。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临时到本省、自治区、直辖市以外从事经营活动的单位或者个人，应当凭所在地税务机关的证明，向经营地税务机关领用经营地的发票。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临时在本省、自治区、直辖市以内跨市、县从事经营活动领用发票的办法，由省、自治区、直辖市税务机关规定。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第四章　发票的开具和保管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销售商品、提供服务以及从事其他经营活动的单位和个人，对外发生经营业务收取款项，收款方应当向付款方开具发票；特殊情况下，由付款方向收款方开具发票。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所有单位和从事生产、经营活动的个人在购买商品、接受服务以及从事其他经营活动支付款项，应当向收款方取得发票。取得发票时，不得要求变更品名和金额。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不符合规定的发票，不得作为财务报销凭证，任何单位和个人有权拒收。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开具发票应当按照规定的时限、顺序、栏目，全部联次一次性如实开具，开具纸质发票应当加盖发票专用章。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任何单位和个人不得有下列虚开发票行为：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(一)为他人、为自己开具与实际经营业务情况不符的发票；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(二)让他人为自己开具与实际经营业务情况不符的发票；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(三)介绍他人开具与实际经营业务情况不符的发票。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安装税控装置的单位和个人，应当按照规定使用税控装置开具发票，并按期向主管税务机关报送开具发票的数据。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使用非税控电子器具开具发票的，应当将非税控电子器具使用的软件程序说明资料报主管税务机关备案，并按照规定保存、报送开具发票的数据。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单位和个人开发电子发票信息系统自用或者为他人提供电子发票服务的，应当遵守国务院税务主管部门的规定。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任何单位和个人应当按照发票管理规定使用发票，不得有下列行为：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(一)转借、转让、介绍他人转让发票、发票监制章和发票防伪专用品；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(二)知道或者应当知道是私自印制、伪造、变造、非法取得或者废止的发票而受让、开具、存放、携带、邮寄、运输；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(三)拆本使用发票；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(四)扩大发票使用范围；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(五)以其他凭证代替发票使用；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 窃取、截留、篡改、出售、泄露发票数据。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税务机关应当提供查询发票真伪的便捷渠道。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除国务院税务主管部门规定的特殊情形外，纸质发票限于领用单位和个人在本省、自治区、直辖市内开具。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省、自治区、直辖市税务机关可以规定跨市、县开具纸质发票的办法。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除国务院税务主管部门规定的特殊情形外，任何单位和个人不得跨规定的使用区域携带、邮寄、运输空白发票。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禁止携带、邮寄或者运输空白发票出入境。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开具发票的单位和个人应当建立发票使用登记制度，配合税务机关进行身份验证，并定期向主管税务机关报告发票使用情况。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开具发票的单位和个人应当在办理变更或者注销税务登记的同时，办理发票的变更、缴销手续。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开具发票的单位和个人应当按照国家有关规定存放和保管发票，不得擅自损毁。已经开具的发票存根联，应当保存5年。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第五章　发票的检查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税务机关在发票管理中有权进行下列检查：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(一)检查印制、领用、开具、取得、保管和缴销发票的情况；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(二)调出发票查验；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(三)查阅、复制与发票有关的凭证、资料；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(四)向当事各方询问与发票有关的问题和情况；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(五)在查处发票案件时，对与案件有关的情况和资料，可以记录、录音、录像、照像和复制。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印制、使用发票的单位和个人，必须接受税务机关依法检查，如实反映情况，提供有关资料，不得拒绝、隐瞒。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税务人员进行检查时，应当出示税务检查证。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税务机关需要将已开具的发票调出查验时，应当向被查验的单位和个人开具发票换票证。发票换票证与所调出查验的发票有同等的效力。被调出查验发票的单位和个人不得拒绝接受。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税务机关需要将空白发票调出查验时，应当开具收据；经查无问题的，应当及时返还。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单位和个人从中国境外取得的与纳税有关的发票或者凭证，税务机关在纳税审查时有疑义的，可以要求其提供境外公证机构或者注册会计师的确认证明，经税务机关审核认可后，方可作为记账核算的凭证。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第六章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违反本办法的规定，有下列情形之一的，由税务机关责令改正，可以处1万元以下的罚款；有违法所得的予以没收：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(一)应当开具而未开具发票，或者未按照规定的时限、顺序、栏目，全部联次一次性开具发票，或者未加盖发票专用章的；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(二)使用税控装置开具发票，未按期向主管税务机关报送开具发票的数据的；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(三)使用非税控电子器具开具发票，未将非税控电子器具使用的软件程序说明资料报主管税务机关备案，或者未按照规定保存、报送开具发票的数据的；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(四)拆本使用发票的；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(五)扩大发票使用范围的；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(六)以其他凭证代替发票使用的；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(七)跨规定区域开具发票的；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(八)未按照规定缴销发票的；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(九)未按照规定存放和保管发票的。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跨规定的使用区域携带、邮寄、运输空白发票，以及携带、邮寄或者运输空白发票出入境的，由税务机关责令改正，可以处1万元以下的罚款；情节严重的，处1万元以上3万元以下的罚款；有违法所得的予以没收。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丢失发票或者擅自损毁发票的，依照前款规定处罚。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违反本办法的规定虚开发票的，由税务机关没收违法所得；虚开金额在1万元以下的，可以并处5万元以下的罚款；虚开金额超过1万元的，并处5万元以上50万元以下的罚款；构成犯罪的，依法追究刑事责任。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非法代开发票的，依照前款规定处罚。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私自印制、伪造、变造发票，非法制造发票防伪专用品，伪造发票监制章，窃取、截留、篡改、出售、泄露发票数据的，由税务机关没收违法所得，没收、销毁作案工具和非法物品，并处1万元以上5万元以下的罚款；情节严重的，并处5万元以上50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前款规定的处罚，《中华人民共和国税收征收管理法》有规定的，依照其规定执行。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有下列情形之一的，由税务机关处1万元以上5万元以下的罚款；情节严重的，处5万元以上50万元以下的罚款；有违法所得的予以没收：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(一)转借、转让、介绍他人转让发票、发票监制章和发票防伪专用品的；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(二)知道或者应当知道是私自印制、伪造、变造、非法取得或者废止的发票而受让、开具、存放、携带、邮寄、运输的。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对违反发票管理规定2次以上或者情节严重的单位和个人，税务机关可以向社会公告。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违反发票管理法规，导致其他单位或者个人未缴、少缴或者骗取税款的，由税务机关没收违法所得，可以并处未缴、少缴或者骗取的税款1倍以下的罚款。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当事人对税务机关的处罚决定不服的，可以依法申请行政复议或者向人民法院提起行政诉讼。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税务人员利用职权之便，故意刁难印制、使用发票的单位和个人，或者有违反发票管理法规行为的，依照国家有关规定给予处分；构成犯罪的，依法追究刑事责任。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国务院税务主管部门可以根据有关行业特殊的经营方式和业务需求，会同国务院有关主管部门制定该行业的发票管理办法。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国务院税务主管部门可以根据增值税专用发票管理的特殊需要，制定增值税专用发票的具体管理办法。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本办法自发布之日起施行。财政部1986年发布的《全国发票管理暂行办法》和原国家税务局1991年发布的《关于对外商投资企业和外国企业发票管理的暂行规定》同时废止。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楷体_GB2312" w:hAnsi="PingFang-SC-Regular" w:eastAsia="楷体_GB2312" w:cs="楷体_GB2312"/>
          <w:i w:val="0"/>
          <w:iCs w:val="0"/>
          <w:caps w:val="0"/>
          <w:color w:val="333333"/>
          <w:spacing w:val="0"/>
          <w:sz w:val="32"/>
          <w:szCs w:val="32"/>
          <w:bdr w:val="none" w:color="auto" w:sz="0" w:space="0"/>
          <w:shd w:val="clear" w:fill="FFFFFF"/>
          <w:vertAlign w:val="baseline"/>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ZmYyN2RlZWYwODAxMDVhZmRhN2UwNzIwMTczZDcifQ=="/>
  </w:docVars>
  <w:rsids>
    <w:rsidRoot w:val="01F20C87"/>
    <w:rsid w:val="01F2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2024-03-26T02:38:00Z</dcterms:created>
  <dc:creator>Administrator</dc:creator>
  <cp:lastModifiedBy>Administrator</cp:lastModifiedBy>
  <dcterms:modified xsi:type="dcterms:W3CDTF">2024-03-26T02:39:18Z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B3C4FC2B610E41DEA2AAFA7876A396F4_11</vt:lpwstr>
  </property>
</Properties>
</file>