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val="0"/>
        <w:widowControl w:val="0"/>
        <w:kinsoku/>
        <w:topLinePunct w:val="0"/>
        <w:bidi w:val="0"/>
        <w:spacing w:line="600" w:lineRule="exac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 w:eastAsia="zh-CN"/>
        </w:rPr>
        <w:t>附件</w:t>
      </w:r>
    </w:p>
    <w:p>
      <w:pPr>
        <w:keepNext w:val="0"/>
        <w:keepLines w:val="0"/>
        <w:pageBreakBefore w:val="0"/>
        <w:widowControl w:val="0"/>
        <w:kinsoku/>
        <w:wordWrap/>
        <w:overflowPunct w:val="0"/>
        <w:topLinePunct w:val="0"/>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color w:val="auto"/>
          <w:spacing w:val="-11"/>
          <w:sz w:val="44"/>
          <w:szCs w:val="44"/>
          <w:lang w:eastAsia="zh-CN"/>
        </w:rPr>
      </w:pPr>
      <w:bookmarkStart w:id="0" w:name="_GoBack"/>
      <w:r>
        <w:rPr>
          <w:rFonts w:hint="default" w:ascii="Times New Roman" w:hAnsi="Times New Roman" w:eastAsia="方正小标宋简体" w:cs="Times New Roman"/>
          <w:color w:val="auto"/>
          <w:spacing w:val="-11"/>
          <w:sz w:val="44"/>
          <w:szCs w:val="44"/>
          <w:lang w:eastAsia="zh-CN"/>
        </w:rPr>
        <w:t>关于</w:t>
      </w:r>
      <w:r>
        <w:rPr>
          <w:rFonts w:hint="eastAsia" w:ascii="Times New Roman" w:hAnsi="Times New Roman" w:eastAsia="方正小标宋简体" w:cs="Times New Roman"/>
          <w:color w:val="auto"/>
          <w:spacing w:val="-11"/>
          <w:sz w:val="44"/>
          <w:szCs w:val="44"/>
          <w:lang w:eastAsia="zh-CN"/>
        </w:rPr>
        <w:t>调整</w:t>
      </w:r>
      <w:r>
        <w:rPr>
          <w:rFonts w:hint="default" w:ascii="Times New Roman" w:hAnsi="Times New Roman" w:eastAsia="方正小标宋简体" w:cs="Times New Roman"/>
          <w:color w:val="auto"/>
          <w:spacing w:val="-11"/>
          <w:sz w:val="44"/>
          <w:szCs w:val="44"/>
          <w:lang w:eastAsia="zh-CN"/>
        </w:rPr>
        <w:t>高排放非道路移动机械禁用区</w:t>
      </w:r>
    </w:p>
    <w:p>
      <w:pPr>
        <w:keepNext w:val="0"/>
        <w:keepLines w:val="0"/>
        <w:pageBreakBefore w:val="0"/>
        <w:widowControl w:val="0"/>
        <w:kinsoku/>
        <w:wordWrap/>
        <w:overflowPunct w:val="0"/>
        <w:topLinePunct w:val="0"/>
        <w:autoSpaceDE/>
        <w:autoSpaceDN/>
        <w:bidi w:val="0"/>
        <w:adjustRightInd/>
        <w:snapToGrid/>
        <w:spacing w:line="600" w:lineRule="exact"/>
        <w:ind w:left="0" w:leftChars="0"/>
        <w:jc w:val="center"/>
        <w:textAlignment w:val="auto"/>
        <w:rPr>
          <w:rFonts w:hint="eastAsia" w:ascii="Times New Roman" w:hAnsi="Times New Roman" w:eastAsia="方正小标宋简体" w:cs="Times New Roman"/>
          <w:color w:val="auto"/>
          <w:spacing w:val="-11"/>
          <w:sz w:val="44"/>
          <w:szCs w:val="44"/>
          <w:lang w:val="en-US" w:eastAsia="zh-CN"/>
        </w:rPr>
      </w:pPr>
      <w:r>
        <w:rPr>
          <w:rFonts w:hint="eastAsia" w:ascii="Times New Roman" w:hAnsi="Times New Roman" w:eastAsia="方正小标宋简体" w:cs="Times New Roman"/>
          <w:color w:val="auto"/>
          <w:spacing w:val="-11"/>
          <w:sz w:val="44"/>
          <w:szCs w:val="44"/>
          <w:lang w:val="en-US" w:eastAsia="zh-CN"/>
        </w:rPr>
        <w:t>（2026年修订）</w:t>
      </w:r>
      <w:r>
        <w:rPr>
          <w:rFonts w:hint="eastAsia" w:ascii="Times New Roman" w:hAnsi="Times New Roman" w:eastAsia="方正小标宋简体" w:cs="Times New Roman"/>
          <w:color w:val="auto"/>
          <w:spacing w:val="-11"/>
          <w:sz w:val="44"/>
          <w:szCs w:val="44"/>
          <w:lang w:eastAsia="zh-CN"/>
        </w:rPr>
        <w:t>的</w:t>
      </w:r>
      <w:r>
        <w:rPr>
          <w:rFonts w:hint="default" w:ascii="Times New Roman" w:hAnsi="Times New Roman" w:eastAsia="方正小标宋简体" w:cs="Times New Roman"/>
          <w:color w:val="auto"/>
          <w:spacing w:val="0"/>
          <w:sz w:val="44"/>
          <w:szCs w:val="44"/>
          <w:lang w:eastAsia="zh-CN"/>
        </w:rPr>
        <w:t>通</w:t>
      </w:r>
      <w:r>
        <w:rPr>
          <w:rFonts w:hint="default" w:ascii="Times New Roman" w:hAnsi="Times New Roman" w:eastAsia="方正小标宋简体" w:cs="Times New Roman"/>
          <w:color w:val="auto"/>
          <w:spacing w:val="0"/>
          <w:sz w:val="44"/>
          <w:szCs w:val="44"/>
          <w:lang w:val="en-US" w:eastAsia="zh-CN"/>
        </w:rPr>
        <w:t>告</w:t>
      </w:r>
    </w:p>
    <w:p>
      <w:pPr>
        <w:keepNext w:val="0"/>
        <w:keepLines w:val="0"/>
        <w:pageBreakBefore w:val="0"/>
        <w:widowControl w:val="0"/>
        <w:kinsoku/>
        <w:wordWrap/>
        <w:overflowPunct w:val="0"/>
        <w:topLinePunct w:val="0"/>
        <w:autoSpaceDE/>
        <w:autoSpaceDN/>
        <w:bidi w:val="0"/>
        <w:adjustRightInd/>
        <w:snapToGrid/>
        <w:spacing w:line="600" w:lineRule="exact"/>
        <w:ind w:left="0" w:leftChars="0"/>
        <w:jc w:val="center"/>
        <w:textAlignment w:val="auto"/>
        <w:rPr>
          <w:rFonts w:hint="default" w:ascii="Times New Roman" w:hAnsi="Times New Roman" w:eastAsia="仿宋_GB2312" w:cs="Times New Roman"/>
          <w:color w:val="auto"/>
          <w:sz w:val="32"/>
          <w:szCs w:val="40"/>
          <w:lang w:val="en" w:eastAsia="zh-CN"/>
        </w:rPr>
      </w:pPr>
      <w:r>
        <w:rPr>
          <w:rFonts w:hint="eastAsia" w:ascii="Times New Roman" w:hAnsi="Times New Roman" w:eastAsia="仿宋_GB2312" w:cs="Times New Roman"/>
          <w:color w:val="auto"/>
          <w:sz w:val="32"/>
          <w:szCs w:val="40"/>
          <w:lang w:val="en-US" w:eastAsia="zh-CN"/>
        </w:rPr>
        <w:t>（征求意见稿）</w:t>
      </w:r>
    </w:p>
    <w:bookmarkEnd w:id="0"/>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40"/>
          <w:lang w:val="en" w:eastAsia="zh-CN"/>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40"/>
          <w:lang w:val="en" w:eastAsia="zh-CN"/>
        </w:rPr>
      </w:pPr>
      <w:r>
        <w:rPr>
          <w:rFonts w:hint="default" w:ascii="Times New Roman" w:hAnsi="Times New Roman" w:eastAsia="仿宋_GB2312" w:cs="Times New Roman"/>
          <w:color w:val="auto"/>
          <w:sz w:val="32"/>
          <w:szCs w:val="40"/>
          <w:lang w:val="en" w:eastAsia="zh-CN"/>
        </w:rPr>
        <w:t>为进一步加强非道路移动机械污染防治，持续改善环境空气质量，保障人民群众身体健康，根据</w:t>
      </w:r>
      <w:r>
        <w:rPr>
          <w:rFonts w:hint="eastAsia" w:ascii="Times New Roman" w:hAnsi="Times New Roman" w:eastAsia="仿宋_GB2312" w:cs="Times New Roman"/>
          <w:color w:val="auto"/>
          <w:sz w:val="32"/>
          <w:szCs w:val="40"/>
          <w:lang w:val="en" w:eastAsia="zh-CN"/>
        </w:rPr>
        <w:t>有关法律法规</w:t>
      </w:r>
      <w:r>
        <w:rPr>
          <w:rFonts w:hint="default" w:ascii="Times New Roman" w:hAnsi="Times New Roman" w:eastAsia="仿宋_GB2312" w:cs="Times New Roman"/>
          <w:color w:val="auto"/>
          <w:sz w:val="32"/>
          <w:szCs w:val="40"/>
          <w:lang w:val="en" w:eastAsia="zh-CN"/>
        </w:rPr>
        <w:t>规定，结合我市实际，</w:t>
      </w:r>
      <w:r>
        <w:rPr>
          <w:rFonts w:hint="eastAsia" w:ascii="Times New Roman" w:hAnsi="Times New Roman" w:eastAsia="仿宋_GB2312" w:cs="Times New Roman"/>
          <w:color w:val="auto"/>
          <w:sz w:val="32"/>
          <w:szCs w:val="40"/>
          <w:lang w:val="en" w:eastAsia="zh-CN"/>
        </w:rPr>
        <w:t>拟</w:t>
      </w:r>
      <w:r>
        <w:rPr>
          <w:rFonts w:hint="default" w:ascii="Times New Roman" w:hAnsi="Times New Roman" w:eastAsia="仿宋_GB2312" w:cs="Times New Roman"/>
          <w:color w:val="auto"/>
          <w:sz w:val="32"/>
          <w:szCs w:val="40"/>
          <w:lang w:val="en" w:eastAsia="zh-CN"/>
        </w:rPr>
        <w:t>对</w:t>
      </w:r>
      <w:r>
        <w:rPr>
          <w:rFonts w:hint="default" w:ascii="Times New Roman" w:hAnsi="Times New Roman" w:eastAsia="仿宋_GB2312" w:cs="Times New Roman"/>
          <w:color w:val="auto"/>
          <w:sz w:val="32"/>
          <w:szCs w:val="40"/>
          <w:lang w:val="en-US" w:eastAsia="zh-CN"/>
        </w:rPr>
        <w:t>202</w:t>
      </w:r>
      <w:r>
        <w:rPr>
          <w:rFonts w:hint="eastAsia" w:ascii="Times New Roman" w:hAnsi="Times New Roman" w:eastAsia="仿宋_GB2312" w:cs="Times New Roman"/>
          <w:color w:val="auto"/>
          <w:sz w:val="32"/>
          <w:szCs w:val="40"/>
          <w:lang w:val="en-US" w:eastAsia="zh-CN"/>
        </w:rPr>
        <w:t>4</w:t>
      </w:r>
      <w:r>
        <w:rPr>
          <w:rFonts w:hint="default" w:ascii="Times New Roman" w:hAnsi="Times New Roman" w:eastAsia="仿宋_GB2312" w:cs="Times New Roman"/>
          <w:color w:val="auto"/>
          <w:sz w:val="32"/>
          <w:szCs w:val="40"/>
          <w:lang w:val="en-US" w:eastAsia="zh-CN"/>
        </w:rPr>
        <w:t>年</w:t>
      </w:r>
      <w:r>
        <w:rPr>
          <w:rFonts w:hint="eastAsia" w:ascii="Times New Roman" w:hAnsi="Times New Roman" w:eastAsia="仿宋_GB2312" w:cs="Times New Roman"/>
          <w:color w:val="auto"/>
          <w:sz w:val="32"/>
          <w:szCs w:val="40"/>
          <w:lang w:val="en-US" w:eastAsia="zh-CN"/>
        </w:rPr>
        <w:t>更新划定</w:t>
      </w:r>
      <w:r>
        <w:rPr>
          <w:rFonts w:hint="default" w:ascii="Times New Roman" w:hAnsi="Times New Roman" w:eastAsia="仿宋_GB2312" w:cs="Times New Roman"/>
          <w:color w:val="auto"/>
          <w:sz w:val="32"/>
          <w:szCs w:val="40"/>
          <w:lang w:val="en" w:eastAsia="zh-CN"/>
        </w:rPr>
        <w:t>的</w:t>
      </w:r>
      <w:r>
        <w:rPr>
          <w:rFonts w:hint="eastAsia" w:ascii="Times New Roman" w:hAnsi="Times New Roman" w:eastAsia="仿宋_GB2312" w:cs="Times New Roman"/>
          <w:color w:val="auto"/>
          <w:sz w:val="32"/>
          <w:szCs w:val="40"/>
          <w:lang w:val="en" w:eastAsia="zh-CN"/>
        </w:rPr>
        <w:t>禹州</w:t>
      </w:r>
      <w:r>
        <w:rPr>
          <w:rFonts w:hint="default" w:ascii="Times New Roman" w:hAnsi="Times New Roman" w:eastAsia="仿宋_GB2312" w:cs="Times New Roman"/>
          <w:color w:val="auto"/>
          <w:sz w:val="32"/>
          <w:szCs w:val="40"/>
          <w:lang w:val="en" w:eastAsia="zh-CN"/>
        </w:rPr>
        <w:t>市高排放非道路移动机械禁用区进行调整。现将有关事项通告如下：</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lang w:val="en-US" w:eastAsia="zh-CN"/>
        </w:rPr>
        <w:t>、非道路移动机械种类和高排放非道路移动机械认定标准</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（一）非道路移动机械种类</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32"/>
          <w:szCs w:val="40"/>
          <w:lang w:val="en-US" w:eastAsia="zh-CN"/>
        </w:rPr>
        <w:t>本通告所指非道路移动机械是指装配有发动机的移动机械和可运输工业设备</w:t>
      </w:r>
      <w:r>
        <w:rPr>
          <w:rFonts w:hint="default" w:ascii="Times New Roman" w:hAnsi="Times New Roman" w:eastAsia="仿宋_GB2312" w:cs="Times New Roman"/>
          <w:color w:val="auto"/>
          <w:sz w:val="32"/>
          <w:szCs w:val="40"/>
          <w:lang w:val="en" w:eastAsia="zh-CN"/>
        </w:rPr>
        <w:t>，</w:t>
      </w:r>
      <w:r>
        <w:rPr>
          <w:rFonts w:hint="default" w:ascii="Times New Roman" w:hAnsi="Times New Roman" w:eastAsia="仿宋_GB2312" w:cs="Times New Roman"/>
          <w:color w:val="auto"/>
          <w:sz w:val="32"/>
          <w:szCs w:val="40"/>
          <w:lang w:val="en-US" w:eastAsia="zh-CN"/>
        </w:rPr>
        <w:t>主要包括挖掘机、起重机、推土机、装载机、压路机、摊铺机、平地机、叉车、桩工机械、堆高机、发电机组等机械类型。</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（二）高排放非道路移动机械认定标准</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高排放非道路移动机械是指依据《中华人民共和国大气污染防治法》第五十九条和《非道路柴油移动机械排气烟度限值及测量方法》（GB36886—2018）规定，未安装污染物控制装置或者污染物控制装置不符合要求</w:t>
      </w:r>
      <w:r>
        <w:rPr>
          <w:rFonts w:hint="eastAsia" w:ascii="Times New Roman" w:hAnsi="Times New Roman" w:eastAsia="仿宋_GB2312" w:cs="Times New Roman"/>
          <w:color w:val="auto"/>
          <w:kern w:val="0"/>
          <w:sz w:val="32"/>
          <w:szCs w:val="32"/>
          <w:lang w:val="en-US" w:eastAsia="zh-CN"/>
        </w:rPr>
        <w:t>的非道路移动机械</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国二、国一及以下排放标准非道路移动机械，以及排气烟度超过《非道路柴油移动机械排气烟度限值及测量方法》（GB 36886—2018）III类限值的非道路柴油移动机械。</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lang w:val="en-US" w:eastAsia="zh-CN"/>
        </w:rPr>
        <w:t>、高排放非道路移动机械禁用区范围</w:t>
      </w:r>
      <w:r>
        <w:rPr>
          <w:rFonts w:hint="eastAsia" w:ascii="Times New Roman" w:hAnsi="Times New Roman" w:eastAsia="黑体" w:cs="Times New Roman"/>
          <w:color w:val="auto"/>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sz w:val="32"/>
          <w:szCs w:val="40"/>
          <w:highlight w:val="none"/>
          <w:lang w:val="en-US" w:eastAsia="zh-CN"/>
        </w:rPr>
        <w:t>1.禹州</w:t>
      </w:r>
      <w:r>
        <w:rPr>
          <w:rFonts w:hint="eastAsia" w:ascii="Times New Roman" w:hAnsi="Times New Roman" w:eastAsia="仿宋_GB2312" w:cs="Times New Roman"/>
          <w:color w:val="auto"/>
          <w:sz w:val="32"/>
          <w:szCs w:val="40"/>
          <w:lang w:val="en-US" w:eastAsia="zh-CN"/>
        </w:rPr>
        <w:t>市行政区域内禁止使用</w:t>
      </w:r>
      <w:r>
        <w:rPr>
          <w:rFonts w:hint="default" w:ascii="Times New Roman" w:hAnsi="Times New Roman" w:eastAsia="仿宋_GB2312" w:cs="Times New Roman"/>
          <w:color w:val="auto"/>
          <w:kern w:val="0"/>
          <w:sz w:val="32"/>
          <w:szCs w:val="32"/>
          <w:lang w:val="en-US" w:eastAsia="zh-CN"/>
        </w:rPr>
        <w:t>未安装污染物控制装置或者污染物控制装置不符合要求</w:t>
      </w:r>
      <w:r>
        <w:rPr>
          <w:rFonts w:hint="eastAsia" w:ascii="Times New Roman" w:hAnsi="Times New Roman" w:eastAsia="仿宋_GB2312" w:cs="Times New Roman"/>
          <w:color w:val="auto"/>
          <w:kern w:val="0"/>
          <w:sz w:val="32"/>
          <w:szCs w:val="32"/>
          <w:lang w:val="en-US" w:eastAsia="zh-CN"/>
        </w:rPr>
        <w:t>的非道路移动机械、国一及以下排放标准非道路移动机械。</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highlight w:val="none"/>
          <w:lang w:val="en-US" w:eastAsia="zh-CN"/>
        </w:rPr>
        <w:t>2.</w:t>
      </w:r>
      <w:r>
        <w:rPr>
          <w:rFonts w:hint="eastAsia" w:ascii="Times New Roman" w:hAnsi="Times New Roman" w:eastAsia="仿宋_GB2312" w:cs="Times New Roman"/>
          <w:color w:val="auto"/>
          <w:kern w:val="0"/>
          <w:sz w:val="32"/>
          <w:szCs w:val="32"/>
          <w:lang w:val="en-US" w:eastAsia="zh-CN"/>
        </w:rPr>
        <w:t>国二非道路移动机械、排气烟度超过《非道路柴油移动机械排气烟度限值及测量方法》（GB 36886—2018）III类限值的非道路柴油移动机械禁用区范围如下：</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（1）禹州市行政区域内</w:t>
      </w:r>
      <w:r>
        <w:rPr>
          <w:rFonts w:hint="default" w:ascii="Times New Roman" w:hAnsi="Times New Roman" w:eastAsia="仿宋_GB2312" w:cs="Times New Roman"/>
          <w:color w:val="auto"/>
          <w:sz w:val="32"/>
          <w:szCs w:val="40"/>
          <w:lang w:val="en-US" w:eastAsia="zh-CN"/>
        </w:rPr>
        <w:t>的铁路货场、物流园区、港口、工矿企业、施工工地。</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（2）</w:t>
      </w:r>
      <w:r>
        <w:rPr>
          <w:rFonts w:hint="eastAsia" w:ascii="仿宋_GB2312" w:hAnsi="仿宋_GB2312" w:eastAsia="仿宋_GB2312" w:cs="仿宋_GB2312"/>
          <w:sz w:val="32"/>
          <w:szCs w:val="32"/>
          <w:lang w:eastAsia="zh-CN"/>
        </w:rPr>
        <w:t>城区东至东环路，西至西环路，南至南环路，北至北环路，</w:t>
      </w:r>
      <w:r>
        <w:rPr>
          <w:rFonts w:hint="eastAsia" w:ascii="仿宋_GB2312" w:hAnsi="仿宋_GB2312" w:eastAsia="仿宋_GB2312" w:cs="仿宋_GB2312"/>
          <w:sz w:val="32"/>
          <w:szCs w:val="32"/>
          <w:lang w:val="en-US" w:eastAsia="zh-CN"/>
        </w:rPr>
        <w:t>均为高排放非道路移动机械禁用区。</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cs="Times New Roman"/>
          <w:color w:val="auto"/>
          <w:lang w:val="en" w:eastAsia="zh-CN"/>
        </w:rPr>
      </w:pPr>
      <w:r>
        <w:rPr>
          <w:rFonts w:hint="default" w:ascii="Times New Roman" w:hAnsi="Times New Roman" w:eastAsia="黑体" w:cs="Times New Roman"/>
          <w:color w:val="auto"/>
          <w:sz w:val="32"/>
          <w:szCs w:val="32"/>
          <w:lang w:val="en" w:eastAsia="zh-CN"/>
        </w:rPr>
        <w:t>三、</w:t>
      </w:r>
      <w:r>
        <w:rPr>
          <w:rFonts w:hint="eastAsia" w:ascii="Times New Roman" w:hAnsi="Times New Roman" w:eastAsia="黑体" w:cs="Times New Roman"/>
          <w:color w:val="auto"/>
          <w:sz w:val="32"/>
          <w:szCs w:val="32"/>
          <w:lang w:val="en-US" w:eastAsia="zh-CN"/>
        </w:rPr>
        <w:t>有关要求</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1.鼓励和支持生产、销售、使用新能源非道路移动机械。</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40"/>
          <w:lang w:val="en-US" w:eastAsia="zh-CN"/>
        </w:rPr>
        <w:t>2.</w:t>
      </w:r>
      <w:r>
        <w:rPr>
          <w:rFonts w:hint="eastAsia" w:ascii="Times New Roman" w:hAnsi="Times New Roman" w:eastAsia="仿宋_GB2312" w:cs="Times New Roman"/>
          <w:color w:val="auto"/>
          <w:sz w:val="32"/>
          <w:szCs w:val="40"/>
          <w:lang w:val="en-US" w:eastAsia="zh-CN"/>
        </w:rPr>
        <w:t>禹州</w:t>
      </w:r>
      <w:r>
        <w:rPr>
          <w:rFonts w:hint="default" w:ascii="Times New Roman" w:hAnsi="Times New Roman" w:eastAsia="仿宋_GB2312" w:cs="Times New Roman"/>
          <w:color w:val="auto"/>
          <w:sz w:val="32"/>
          <w:szCs w:val="40"/>
          <w:u w:val="none"/>
          <w:lang w:val="en-US" w:eastAsia="zh-CN"/>
        </w:rPr>
        <w:t>市行政区域内禁止使用未进行编码登记、未悬挂环保号牌、定位联网失效的非道路移动机械。</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3.生态环境、交通运输、住房城乡建设、水利、城市管理等部门应当根据各自职责</w:t>
      </w:r>
      <w:r>
        <w:rPr>
          <w:rFonts w:hint="eastAsia" w:ascii="Times New Roman" w:hAnsi="Times New Roman" w:eastAsia="仿宋_GB2312" w:cs="Times New Roman"/>
          <w:color w:val="auto"/>
          <w:sz w:val="32"/>
          <w:szCs w:val="40"/>
          <w:lang w:val="en-US" w:eastAsia="zh-CN"/>
        </w:rPr>
        <w:t>，</w:t>
      </w:r>
      <w:r>
        <w:rPr>
          <w:rFonts w:hint="default" w:ascii="Times New Roman" w:hAnsi="Times New Roman" w:eastAsia="仿宋_GB2312" w:cs="Times New Roman"/>
          <w:color w:val="auto"/>
          <w:sz w:val="32"/>
          <w:szCs w:val="40"/>
          <w:lang w:val="en-US" w:eastAsia="zh-CN"/>
        </w:rPr>
        <w:t>在工作中落实本通</w:t>
      </w:r>
      <w:r>
        <w:rPr>
          <w:rFonts w:hint="default" w:ascii="Times New Roman" w:hAnsi="Times New Roman" w:eastAsia="仿宋_GB2312" w:cs="Times New Roman"/>
          <w:color w:val="auto"/>
          <w:sz w:val="32"/>
          <w:szCs w:val="40"/>
          <w:lang w:val="en" w:eastAsia="zh-CN"/>
        </w:rPr>
        <w:t>告</w:t>
      </w:r>
      <w:r>
        <w:rPr>
          <w:rFonts w:hint="default" w:ascii="Times New Roman" w:hAnsi="Times New Roman" w:eastAsia="仿宋_GB2312" w:cs="Times New Roman"/>
          <w:color w:val="auto"/>
          <w:sz w:val="32"/>
          <w:szCs w:val="40"/>
          <w:lang w:val="en-US" w:eastAsia="zh-CN"/>
        </w:rPr>
        <w:t>要求，并</w:t>
      </w:r>
      <w:r>
        <w:rPr>
          <w:rFonts w:hint="eastAsia" w:ascii="Times New Roman" w:hAnsi="Times New Roman" w:eastAsia="仿宋_GB2312" w:cs="Times New Roman"/>
          <w:color w:val="auto"/>
          <w:sz w:val="32"/>
          <w:szCs w:val="40"/>
          <w:lang w:val="en-US" w:eastAsia="zh-CN"/>
        </w:rPr>
        <w:t>对</w:t>
      </w:r>
      <w:r>
        <w:rPr>
          <w:rFonts w:hint="default" w:ascii="Times New Roman" w:hAnsi="Times New Roman" w:eastAsia="仿宋_GB2312" w:cs="Times New Roman"/>
          <w:color w:val="auto"/>
          <w:sz w:val="32"/>
          <w:szCs w:val="40"/>
          <w:lang w:val="en-US" w:eastAsia="zh-CN"/>
        </w:rPr>
        <w:t>高排放非道路移动机械禁用区域进行监督管理。</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highlight w:val="none"/>
          <w:lang w:val="en-US" w:eastAsia="zh-CN"/>
        </w:rPr>
        <w:t>4</w:t>
      </w:r>
      <w:r>
        <w:rPr>
          <w:rFonts w:hint="default" w:ascii="Times New Roman" w:hAnsi="Times New Roman" w:eastAsia="仿宋_GB2312" w:cs="Times New Roman"/>
          <w:color w:val="auto"/>
          <w:sz w:val="32"/>
          <w:szCs w:val="40"/>
          <w:highlight w:val="none"/>
          <w:lang w:val="en-US" w:eastAsia="zh-CN"/>
        </w:rPr>
        <w:t>.</w:t>
      </w:r>
      <w:r>
        <w:rPr>
          <w:rFonts w:hint="eastAsia" w:ascii="Times New Roman" w:hAnsi="Times New Roman" w:eastAsia="仿宋_GB2312" w:cs="Times New Roman"/>
          <w:color w:val="auto"/>
          <w:sz w:val="32"/>
          <w:szCs w:val="40"/>
          <w:highlight w:val="none"/>
          <w:lang w:val="en-US" w:eastAsia="zh-CN"/>
        </w:rPr>
        <w:t>违反本通告规定的，由相关部门依法予以处理</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四、实施时间</w:t>
      </w:r>
    </w:p>
    <w:p>
      <w:pPr>
        <w:keepNext w:val="0"/>
        <w:keepLines w:val="0"/>
        <w:pageBreakBefore w:val="0"/>
        <w:widowControl w:val="0"/>
        <w:kinsoku/>
        <w:wordWrap/>
        <w:overflowPunct w:val="0"/>
        <w:topLinePunct w:val="0"/>
        <w:autoSpaceDE/>
        <w:autoSpaceDN/>
        <w:bidi w:val="0"/>
        <w:adjustRightInd/>
        <w:snapToGrid w:val="0"/>
        <w:spacing w:line="600" w:lineRule="exact"/>
        <w:ind w:left="0" w:leftChars="0" w:right="0" w:rightChars="0" w:firstLineChars="200"/>
        <w:jc w:val="both"/>
        <w:textAlignment w:val="auto"/>
        <w:outlineLvl w:val="9"/>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本通告自</w:t>
      </w:r>
      <w:r>
        <w:rPr>
          <w:rFonts w:hint="default" w:ascii="Times New Roman" w:hAnsi="Times New Roman" w:eastAsia="仿宋_GB2312" w:cs="Times New Roman"/>
          <w:color w:val="auto"/>
          <w:sz w:val="32"/>
          <w:szCs w:val="40"/>
          <w:lang w:val="en" w:eastAsia="zh-CN"/>
        </w:rPr>
        <w:t>发布之日</w:t>
      </w:r>
      <w:r>
        <w:rPr>
          <w:rFonts w:hint="default" w:ascii="Times New Roman" w:hAnsi="Times New Roman" w:eastAsia="仿宋_GB2312" w:cs="Times New Roman"/>
          <w:color w:val="auto"/>
          <w:sz w:val="32"/>
          <w:szCs w:val="40"/>
          <w:lang w:val="en-US" w:eastAsia="zh-CN"/>
        </w:rPr>
        <w:t>起施行。</w:t>
      </w:r>
      <w:r>
        <w:rPr>
          <w:rFonts w:hint="eastAsia" w:ascii="Times New Roman" w:hAnsi="Times New Roman" w:eastAsia="仿宋_GB2312" w:cs="Times New Roman"/>
          <w:color w:val="auto"/>
          <w:sz w:val="32"/>
          <w:szCs w:val="40"/>
          <w:lang w:val="en-US" w:eastAsia="zh-CN"/>
        </w:rPr>
        <w:t>禹州</w:t>
      </w:r>
      <w:r>
        <w:rPr>
          <w:rFonts w:hint="default" w:ascii="Times New Roman" w:hAnsi="Times New Roman" w:eastAsia="仿宋_GB2312" w:cs="Times New Roman"/>
          <w:color w:val="auto"/>
          <w:sz w:val="32"/>
          <w:szCs w:val="40"/>
          <w:lang w:val="en-US" w:eastAsia="zh-CN"/>
        </w:rPr>
        <w:t>市人民政府202</w:t>
      </w:r>
      <w:r>
        <w:rPr>
          <w:rFonts w:hint="eastAsia" w:ascii="Times New Roman" w:hAnsi="Times New Roman" w:eastAsia="仿宋_GB2312" w:cs="Times New Roman"/>
          <w:color w:val="auto"/>
          <w:sz w:val="32"/>
          <w:szCs w:val="40"/>
          <w:lang w:val="en-US" w:eastAsia="zh-CN"/>
        </w:rPr>
        <w:t>4</w:t>
      </w:r>
      <w:r>
        <w:rPr>
          <w:rFonts w:hint="default" w:ascii="Times New Roman" w:hAnsi="Times New Roman" w:eastAsia="仿宋_GB2312" w:cs="Times New Roman"/>
          <w:color w:val="auto"/>
          <w:sz w:val="32"/>
          <w:szCs w:val="40"/>
          <w:lang w:val="en-US" w:eastAsia="zh-CN"/>
        </w:rPr>
        <w:t>年</w:t>
      </w:r>
      <w:r>
        <w:rPr>
          <w:rFonts w:hint="eastAsia" w:ascii="Times New Roman" w:hAnsi="Times New Roman" w:eastAsia="仿宋_GB2312" w:cs="Times New Roman"/>
          <w:color w:val="auto"/>
          <w:sz w:val="32"/>
          <w:szCs w:val="40"/>
          <w:lang w:val="en-US" w:eastAsia="zh-CN"/>
        </w:rPr>
        <w:t>12</w:t>
      </w:r>
      <w:r>
        <w:rPr>
          <w:rFonts w:hint="default" w:ascii="Times New Roman" w:hAnsi="Times New Roman" w:eastAsia="仿宋_GB2312" w:cs="Times New Roman"/>
          <w:color w:val="auto"/>
          <w:sz w:val="32"/>
          <w:szCs w:val="40"/>
          <w:lang w:val="en-US" w:eastAsia="zh-CN"/>
        </w:rPr>
        <w:t>月</w:t>
      </w:r>
      <w:r>
        <w:rPr>
          <w:rFonts w:hint="eastAsia" w:ascii="Times New Roman" w:hAnsi="Times New Roman" w:eastAsia="仿宋_GB2312" w:cs="Times New Roman"/>
          <w:color w:val="auto"/>
          <w:sz w:val="32"/>
          <w:szCs w:val="40"/>
          <w:lang w:val="en-US" w:eastAsia="zh-CN"/>
        </w:rPr>
        <w:t>9</w:t>
      </w:r>
      <w:r>
        <w:rPr>
          <w:rFonts w:hint="default" w:ascii="Times New Roman" w:hAnsi="Times New Roman" w:eastAsia="仿宋_GB2312" w:cs="Times New Roman"/>
          <w:color w:val="auto"/>
          <w:sz w:val="32"/>
          <w:szCs w:val="40"/>
          <w:lang w:val="en-US" w:eastAsia="zh-CN"/>
        </w:rPr>
        <w:t>日发布的《</w:t>
      </w:r>
      <w:r>
        <w:rPr>
          <w:rFonts w:hint="eastAsia" w:ascii="Times New Roman" w:hAnsi="Times New Roman" w:eastAsia="仿宋_GB2312" w:cs="Times New Roman"/>
          <w:color w:val="auto"/>
          <w:sz w:val="32"/>
          <w:szCs w:val="40"/>
          <w:lang w:val="en-US" w:eastAsia="zh-CN"/>
        </w:rPr>
        <w:t>禹州市人民政府</w:t>
      </w:r>
      <w:r>
        <w:rPr>
          <w:rFonts w:hint="default" w:ascii="Times New Roman" w:hAnsi="Times New Roman" w:eastAsia="仿宋_GB2312" w:cs="Times New Roman"/>
          <w:color w:val="auto"/>
          <w:sz w:val="32"/>
          <w:szCs w:val="40"/>
          <w:lang w:val="en-US" w:eastAsia="zh-CN"/>
        </w:rPr>
        <w:t>关于</w:t>
      </w:r>
      <w:r>
        <w:rPr>
          <w:rFonts w:hint="eastAsia" w:ascii="Times New Roman" w:hAnsi="Times New Roman" w:eastAsia="仿宋_GB2312" w:cs="Times New Roman"/>
          <w:color w:val="auto"/>
          <w:sz w:val="32"/>
          <w:szCs w:val="40"/>
          <w:lang w:val="en-US" w:eastAsia="zh-CN"/>
        </w:rPr>
        <w:t>更新划定</w:t>
      </w:r>
      <w:r>
        <w:rPr>
          <w:rFonts w:hint="default" w:ascii="Times New Roman" w:hAnsi="Times New Roman" w:eastAsia="仿宋_GB2312" w:cs="Times New Roman"/>
          <w:color w:val="auto"/>
          <w:sz w:val="32"/>
          <w:szCs w:val="40"/>
          <w:lang w:val="en-US" w:eastAsia="zh-CN"/>
        </w:rPr>
        <w:t>高排放非道路移动机械禁用区的通告》（</w:t>
      </w:r>
      <w:r>
        <w:rPr>
          <w:rFonts w:hint="eastAsia" w:ascii="Times New Roman" w:hAnsi="Times New Roman" w:eastAsia="仿宋_GB2312" w:cs="Times New Roman"/>
          <w:color w:val="auto"/>
          <w:sz w:val="32"/>
          <w:szCs w:val="40"/>
          <w:lang w:val="en-US" w:eastAsia="zh-CN"/>
        </w:rPr>
        <w:t>禹</w:t>
      </w:r>
      <w:r>
        <w:rPr>
          <w:rFonts w:hint="default" w:ascii="Times New Roman" w:hAnsi="Times New Roman" w:eastAsia="仿宋_GB2312" w:cs="Times New Roman"/>
          <w:color w:val="auto"/>
          <w:sz w:val="32"/>
          <w:szCs w:val="40"/>
          <w:lang w:val="en-US" w:eastAsia="zh-CN"/>
        </w:rPr>
        <w:t>政通〔202</w:t>
      </w:r>
      <w:r>
        <w:rPr>
          <w:rFonts w:hint="eastAsia" w:ascii="Times New Roman" w:hAnsi="Times New Roman" w:eastAsia="仿宋_GB2312" w:cs="Times New Roman"/>
          <w:color w:val="auto"/>
          <w:sz w:val="32"/>
          <w:szCs w:val="40"/>
          <w:lang w:val="en-US" w:eastAsia="zh-CN"/>
        </w:rPr>
        <w:t>4</w:t>
      </w:r>
      <w:r>
        <w:rPr>
          <w:rFonts w:hint="default" w:ascii="Times New Roman" w:hAnsi="Times New Roman" w:eastAsia="仿宋_GB2312" w:cs="Times New Roman"/>
          <w:color w:val="auto"/>
          <w:sz w:val="32"/>
          <w:szCs w:val="40"/>
          <w:lang w:val="en-US" w:eastAsia="zh-CN"/>
        </w:rPr>
        <w:t>〕1号）同时废止。</w:t>
      </w:r>
    </w:p>
    <w:p>
      <w:pPr>
        <w:keepNext w:val="0"/>
        <w:keepLines w:val="0"/>
        <w:pageBreakBefore w:val="0"/>
        <w:widowControl w:val="0"/>
        <w:kinsoku/>
        <w:wordWrap/>
        <w:overflowPunct w:val="0"/>
        <w:topLinePunct w:val="0"/>
        <w:autoSpaceDE/>
        <w:autoSpaceDN/>
        <w:bidi w:val="0"/>
        <w:adjustRightInd/>
        <w:snapToGrid w:val="0"/>
        <w:spacing w:line="600" w:lineRule="exact"/>
        <w:ind w:left="0" w:leftChars="0" w:right="0" w:rightChars="0" w:firstLineChars="200"/>
        <w:jc w:val="both"/>
        <w:textAlignment w:val="auto"/>
        <w:outlineLvl w:val="9"/>
        <w:rPr>
          <w:rFonts w:hint="default" w:ascii="Times New Roman" w:hAnsi="Times New Roman" w:eastAsia="仿宋_GB2312" w:cs="Times New Roman"/>
          <w:color w:val="auto"/>
          <w:spacing w:val="-6"/>
          <w:kern w:val="2"/>
          <w:sz w:val="32"/>
        </w:rPr>
      </w:pPr>
      <w:r>
        <w:rPr>
          <w:rFonts w:hint="default" w:ascii="Times New Roman" w:hAnsi="Times New Roman" w:eastAsia="仿宋_GB2312" w:cs="Times New Roman"/>
          <w:color w:val="auto"/>
          <w:spacing w:val="-6"/>
          <w:kern w:val="2"/>
          <w:sz w:val="32"/>
        </w:rPr>
        <w:t>特此通告。</w:t>
      </w:r>
    </w:p>
    <w:p>
      <w:pPr>
        <w:pStyle w:val="6"/>
        <w:keepNext w:val="0"/>
        <w:keepLines w:val="0"/>
        <w:pageBreakBefore w:val="0"/>
        <w:widowControl w:val="0"/>
        <w:kinsoku/>
        <w:wordWrap/>
        <w:overflowPunct w:val="0"/>
        <w:topLinePunct w:val="0"/>
        <w:bidi w:val="0"/>
        <w:spacing w:line="600" w:lineRule="exact"/>
        <w:ind w:left="0" w:leftChars="0"/>
        <w:jc w:val="center"/>
        <w:textAlignment w:val="auto"/>
        <w:rPr>
          <w:rFonts w:hint="default" w:ascii="Times New Roman" w:hAnsi="Times New Roman" w:eastAsia="仿宋_GB2312" w:cs="Times New Roman"/>
          <w:color w:val="auto"/>
          <w:sz w:val="32"/>
          <w:szCs w:val="32"/>
          <w:highlight w:val="none"/>
          <w:lang w:val="en" w:eastAsia="zh-CN"/>
        </w:rPr>
      </w:pPr>
    </w:p>
    <w:p>
      <w:pPr>
        <w:pStyle w:val="2"/>
        <w:rPr>
          <w:rFonts w:hint="default"/>
          <w:lang w:val="en" w:eastAsia="zh-CN"/>
        </w:rPr>
      </w:pPr>
    </w:p>
    <w:p>
      <w:pPr>
        <w:pStyle w:val="6"/>
        <w:keepNext w:val="0"/>
        <w:keepLines w:val="0"/>
        <w:pageBreakBefore w:val="0"/>
        <w:widowControl w:val="0"/>
        <w:kinsoku/>
        <w:wordWrap/>
        <w:overflowPunct w:val="0"/>
        <w:topLinePunct w:val="0"/>
        <w:bidi w:val="0"/>
        <w:spacing w:line="600" w:lineRule="exact"/>
        <w:ind w:left="0" w:leftChars="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 w:eastAsia="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202</w:t>
      </w:r>
      <w:r>
        <w:rPr>
          <w:rFonts w:hint="eastAsia" w:asci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月</w:t>
      </w:r>
      <w:r>
        <w:rPr>
          <w:rFonts w:hint="eastAsia" w:asci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日</w:t>
      </w:r>
    </w:p>
    <w:p/>
    <w:sectPr>
      <w:pgSz w:w="11906" w:h="16838"/>
      <w:pgMar w:top="1587" w:right="1417" w:bottom="1587" w:left="1587"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B6E13"/>
    <w:rsid w:val="26F43E4B"/>
    <w:rsid w:val="4EAB6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index 5"/>
    <w:basedOn w:val="1"/>
    <w:next w:val="1"/>
    <w:uiPriority w:val="0"/>
    <w:pPr>
      <w:adjustRightInd w:val="0"/>
      <w:snapToGrid w:val="0"/>
      <w:spacing w:line="360" w:lineRule="auto"/>
      <w:ind w:left="1680" w:leftChars="0" w:firstLineChars="200"/>
    </w:pPr>
    <w:rPr>
      <w:rFonts w:ascii="Times New Roman" w:hAnsi="Times New Roman" w:eastAsia="仿宋_GB2312"/>
      <w:spacing w:val="0"/>
    </w:rPr>
  </w:style>
  <w:style w:type="paragraph" w:styleId="3">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customStyle="1" w:styleId="6">
    <w:name w:val="Default"/>
    <w:next w:val="2"/>
    <w:qFormat/>
    <w:uiPriority w:val="0"/>
    <w:pPr>
      <w:widowControl w:val="0"/>
      <w:autoSpaceDE w:val="0"/>
      <w:autoSpaceDN w:val="0"/>
      <w:adjustRightInd w:val="0"/>
    </w:pPr>
    <w:rPr>
      <w:rFonts w:ascii="宋体" w:hAnsi="Times New Roman" w:eastAsia="宋体" w:cs="Times New Roman"/>
      <w:color w:val="000000"/>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2026-05-20T08:05:00Z</dcterms:created>
  <dc:creator>Administrator</dc:creator>
  <cp:lastModifiedBy>Administrator</cp:lastModifiedBy>
  <dcterms:modified xsi:type="dcterms:W3CDTF">2026-05-20T08:07:44Z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