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禹州市2021年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b w:val="0"/>
          <w:bCs w:val="0"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中央和省级救灾资金管理使用情况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拨付2021年救灾补助资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暨我市洪涝灾害灾后恢复重建补助资金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禹应急</w:t>
      </w:r>
      <w:r>
        <w:rPr>
          <w:rFonts w:hint="eastAsia" w:ascii="仿宋_GB2312" w:hAnsi="方正小标宋简体" w:eastAsia="仿宋_GB2312" w:cs="方正小标宋简体"/>
          <w:b/>
          <w:bCs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b/>
          <w:bCs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b/>
          <w:bCs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39号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分配下达2021年救灾补助资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许财预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有关要求，农业农村局拨付30万元，交通局拨付806.75万元，水利局拨付305.87万元，公路发展中心拨付137.38万元，共计1280万元。于2021年8月11日申请拨付，资金已全部</w:t>
      </w:r>
      <w:r>
        <w:rPr>
          <w:rFonts w:hint="eastAsia" w:hAnsi="仿宋_GB2312" w:cs="仿宋_GB2312"/>
          <w:sz w:val="32"/>
          <w:szCs w:val="32"/>
          <w:lang w:val="en-US" w:eastAsia="zh-CN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到位。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拨付我市2021年受灾群众救助资金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禹应急</w:t>
      </w:r>
      <w:r>
        <w:rPr>
          <w:rFonts w:hint="eastAsia" w:ascii="仿宋_GB2312" w:hAnsi="方正小标宋简体" w:eastAsia="仿宋_GB2312" w:cs="方正小标宋简体"/>
          <w:b/>
          <w:bCs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b/>
          <w:bCs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b/>
          <w:bCs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66号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禹应急财</w:t>
      </w:r>
      <w:r>
        <w:rPr>
          <w:rFonts w:hint="eastAsia" w:ascii="仿宋_GB2312" w:hAnsi="方正小标宋简体" w:eastAsia="仿宋_GB2312" w:cs="方正小标宋简体"/>
          <w:b/>
          <w:bCs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b/>
          <w:bCs/>
          <w:spacing w:val="8"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方正小标宋简体" w:eastAsia="仿宋_GB2312" w:cs="方正小标宋简体"/>
          <w:b/>
          <w:bCs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17号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河南省财政厅应急管理厅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下达2021年受灾群众救助省级补助资预算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豫财环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下达2021年受灾群众救助省级补助资预算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许财预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</w:t>
      </w:r>
      <w:r>
        <w:rPr>
          <w:rFonts w:hint="eastAsia" w:ascii="Times New Roman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下达2021年中央自然灾害救灾资金预算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许财预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有关要求，2021年顺店镇受灾群众转移人口2217人安置省级资金201.747万元，2021年各乡镇街道过渡期生活救助省级资金53.991万元，中央自然灾害救灾资金177.57万元，涉及6个乡镇857人，资金已全部发放到位</w:t>
      </w:r>
      <w:r>
        <w:rPr>
          <w:rFonts w:hint="eastAsia" w:hAnsi="仿宋_GB2312" w:cs="仿宋_GB2312"/>
          <w:sz w:val="32"/>
          <w:szCs w:val="32"/>
          <w:lang w:val="en-US" w:eastAsia="zh-CN"/>
        </w:rPr>
        <w:t>（见附件1、附件2、附件3）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拨付2021年中央自然灾害救灾资金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禹应急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40号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下达2021年中央自然灾害救灾资金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许财预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有关要求，对受灾群众转移安置、过渡期生活救助和倒塌损坏房屋恢复重建的救助，给予补助520万元，涉及21个乡镇街道，于2021年8月11日申请拨付，资金已全部</w:t>
      </w:r>
      <w:r>
        <w:rPr>
          <w:rFonts w:hint="eastAsia" w:hAnsi="仿宋_GB2312" w:cs="仿宋_GB2312"/>
          <w:sz w:val="32"/>
          <w:szCs w:val="32"/>
          <w:lang w:val="en-US" w:eastAsia="zh-CN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到位</w:t>
      </w:r>
      <w:r>
        <w:rPr>
          <w:rFonts w:hint="eastAsia" w:hAnsi="仿宋_GB2312" w:cs="仿宋_GB2312"/>
          <w:sz w:val="32"/>
          <w:szCs w:val="32"/>
          <w:lang w:val="en-US" w:eastAsia="zh-CN"/>
        </w:rPr>
        <w:t>（见附件4）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拨付我市2021年受灾群众冬春救助资金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禹应急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69号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河南省财政厅河南省应急管理厅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下达中央和省级自然灾害救助资金预算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豫财环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河南应急管理厅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做好2021-2022年度受灾困难群众冬春救助工作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豫应急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2021</w:t>
      </w:r>
      <w:r>
        <w:rPr>
          <w:rFonts w:hint="eastAsia" w:ascii="仿宋_GB2312" w:hAnsi="方正小标宋简体" w:eastAsia="仿宋_GB2312" w:cs="方正小标宋简体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文件的要求，2021年中央和省级自然灾害救助资金22万元，涉及12个乡镇，于2021年12月24日申请拨付，资金已发放到位</w:t>
      </w:r>
      <w:r>
        <w:rPr>
          <w:rFonts w:hint="eastAsia" w:hAnsi="仿宋_GB2312" w:cs="仿宋_GB2312"/>
          <w:sz w:val="32"/>
          <w:szCs w:val="32"/>
          <w:lang w:val="en-US" w:eastAsia="zh-CN"/>
        </w:rPr>
        <w:t>（见附件5）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2021年顺店镇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受灾群众2217人转移安置资金分配表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单位：万元</w:t>
      </w:r>
    </w:p>
    <w:tbl>
      <w:tblPr>
        <w:tblStyle w:val="6"/>
        <w:tblW w:w="795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007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53" w:type="dxa"/>
            <w:vMerge w:val="restart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97" w:type="dxa"/>
            <w:gridSpan w:val="2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应急期转移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安置人口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53" w:type="dxa"/>
            <w:vMerge w:val="continue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人口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4590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分配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53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顺店镇</w:t>
            </w:r>
          </w:p>
        </w:tc>
        <w:tc>
          <w:tcPr>
            <w:tcW w:w="2007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2217</w:t>
            </w:r>
          </w:p>
        </w:tc>
        <w:tc>
          <w:tcPr>
            <w:tcW w:w="4590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201.747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353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007" w:type="dxa"/>
            <w:vAlign w:val="top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2217</w:t>
            </w:r>
          </w:p>
        </w:tc>
        <w:tc>
          <w:tcPr>
            <w:tcW w:w="4590" w:type="dxa"/>
            <w:vAlign w:val="top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201.747</w:t>
            </w:r>
          </w:p>
        </w:tc>
      </w:tr>
    </w:tbl>
    <w:p>
      <w:pPr>
        <w:ind w:firstLine="320" w:firstLineChars="100"/>
        <w:jc w:val="left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备注：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应急期转移安置人口每人0.091万元补助。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禹州市2021年各乡镇街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道过渡期生活省级救助情况统计表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6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80"/>
        <w:gridCol w:w="945"/>
        <w:gridCol w:w="22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乡镇名称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户数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人口数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01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方山镇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63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213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13.419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神垕镇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03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古城镇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28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1.953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04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苌庄镇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110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368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23.184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05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eastAsia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小吕镇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51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3.213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06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浅井镇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184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left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11.592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6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281</w:t>
            </w:r>
          </w:p>
        </w:tc>
        <w:tc>
          <w:tcPr>
            <w:tcW w:w="22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857</w:t>
            </w:r>
          </w:p>
        </w:tc>
        <w:tc>
          <w:tcPr>
            <w:tcW w:w="14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53.991</w:t>
            </w:r>
          </w:p>
        </w:tc>
      </w:tr>
    </w:tbl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备注：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过渡期</w:t>
      </w:r>
      <w:r>
        <w:rPr>
          <w:rFonts w:hint="eastAsia" w:ascii="Times New Roman" w:cs="Times New Roman"/>
          <w:sz w:val="32"/>
          <w:szCs w:val="32"/>
          <w:vertAlign w:val="baseline"/>
          <w:lang w:val="en-US" w:eastAsia="zh-CN"/>
        </w:rPr>
        <w:t>省级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救助人口每人0.063万元补助。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禹州市2021年各乡镇街道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过渡期生活中央救助情况统计表</w:t>
      </w:r>
    </w:p>
    <w:p>
      <w:pPr>
        <w:pStyle w:val="2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6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80"/>
        <w:gridCol w:w="945"/>
        <w:gridCol w:w="22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乡镇名称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户数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人口数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01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方山镇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63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213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44.091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神垕镇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03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古城镇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28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04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苌庄镇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110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368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05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eastAsia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小吕镇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51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06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浅井镇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184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left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38.088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6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281</w:t>
            </w:r>
          </w:p>
        </w:tc>
        <w:tc>
          <w:tcPr>
            <w:tcW w:w="22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857</w:t>
            </w:r>
          </w:p>
        </w:tc>
        <w:tc>
          <w:tcPr>
            <w:tcW w:w="14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177.399</w:t>
            </w:r>
          </w:p>
        </w:tc>
      </w:tr>
    </w:tbl>
    <w:p>
      <w:pPr>
        <w:ind w:firstLine="960" w:firstLineChars="300"/>
        <w:jc w:val="left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备注：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过渡期</w:t>
      </w:r>
      <w:r>
        <w:rPr>
          <w:rFonts w:hint="eastAsia" w:ascii="Times New Roman" w:cs="Times New Roman"/>
          <w:sz w:val="32"/>
          <w:szCs w:val="32"/>
          <w:vertAlign w:val="baseline"/>
          <w:lang w:val="en-US" w:eastAsia="zh-CN"/>
        </w:rPr>
        <w:t>中央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救助人口每人</w:t>
      </w:r>
      <w:r>
        <w:rPr>
          <w:rFonts w:hint="eastAsia" w:ascii="Times New Roman" w:cs="Times New Roman"/>
          <w:sz w:val="32"/>
          <w:szCs w:val="32"/>
          <w:vertAlign w:val="baseline"/>
          <w:lang w:val="en-US" w:eastAsia="zh-CN"/>
        </w:rPr>
        <w:t>2070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元补助。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汛期救灾资金拨付明细表</w:t>
      </w:r>
    </w:p>
    <w:tbl>
      <w:tblPr>
        <w:tblStyle w:val="5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545"/>
        <w:gridCol w:w="2003"/>
        <w:gridCol w:w="2132"/>
        <w:gridCol w:w="17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2"/>
              </w:tabs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房屋倒塌损失救灾资金拨付金额（万元）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2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临时转移、集中安置救灾资金拨付金额（万元）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2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苌庄乡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sum(J2:K2)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花石镇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sum(J3:K3)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方山镇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sum(J4:K4)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浅井镇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sum(J5:K5)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顺店镇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sum(J6:K6)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无梁镇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sum(J7:K7)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小吕乡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sum(J8:K8)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文殊镇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sum(J9:K9)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神垕镇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sum(J10:K10)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张得镇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sum(J11:K11) \* MERGEFORMAT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范坡镇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sum(J12:K12)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鸠山镇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sum(J13:K13)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古城镇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sum(J14:K14)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朱阁镇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sum(J15:K15)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方岗镇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sum(J16:K16)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磨街乡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sum(J17:K17)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梁北镇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sum(J18:K18)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鸿畅镇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sum(J19:K19) \* MERGEFORMAT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山货乡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sum(J20:K20)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火龙镇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sum(J21:K21)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韩城街道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92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sum(J22:K22) \* MERGEFORMAT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共</w:t>
            </w:r>
            <w:r>
              <w:rPr>
                <w:rStyle w:val="8"/>
                <w:lang w:val="en-US" w:eastAsia="zh-CN" w:bidi="ar"/>
              </w:rPr>
              <w:t>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sum(K2:K23) \* MERGEFORMAT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sum(J23:K23) \* MERGEFORMAT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冬春救助资金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487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乡镇名称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01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方山镇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02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神垕镇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03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梁北镇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04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古城镇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05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eastAsia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无梁镇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06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文殊镇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07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朱阁镇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jc w:val="center"/>
              <w:textAlignment w:val="auto"/>
              <w:rPr>
                <w:rFonts w:hint="default" w:ascii="仿宋_GB231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08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苌庄镇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花石镇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鸠山镇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小吕镇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浅井镇</w:t>
            </w:r>
          </w:p>
        </w:tc>
        <w:tc>
          <w:tcPr>
            <w:tcW w:w="3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48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Tahoma" w:eastAsia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8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ahom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22</w:t>
            </w:r>
          </w:p>
        </w:tc>
      </w:tr>
    </w:tbl>
    <w:p>
      <w:pPr>
        <w:ind w:firstLine="5120" w:firstLineChars="1600"/>
        <w:jc w:val="left"/>
        <w:rPr>
          <w:rFonts w:hint="eastAsia" w:ascii="Times New Roman" w:cs="Times New Roman"/>
          <w:sz w:val="32"/>
          <w:szCs w:val="32"/>
          <w:vertAlign w:val="baseline"/>
          <w:lang w:val="en-US" w:eastAsia="zh-CN"/>
        </w:rPr>
      </w:pPr>
    </w:p>
    <w:p>
      <w:pPr>
        <w:ind w:firstLine="5120" w:firstLineChars="1600"/>
        <w:jc w:val="left"/>
        <w:rPr>
          <w:rFonts w:hint="eastAsia" w:ascii="Times New Roman" w:cs="Times New Roman"/>
          <w:sz w:val="32"/>
          <w:szCs w:val="32"/>
          <w:vertAlign w:val="baseline"/>
          <w:lang w:val="en-US" w:eastAsia="zh-CN"/>
        </w:rPr>
      </w:pPr>
    </w:p>
    <w:p>
      <w:pPr>
        <w:ind w:firstLine="5120" w:firstLineChars="1600"/>
        <w:jc w:val="left"/>
        <w:rPr>
          <w:rFonts w:hint="eastAsia" w:ascii="Times New Roman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cs="Times New Roman"/>
          <w:sz w:val="32"/>
          <w:szCs w:val="32"/>
          <w:vertAlign w:val="baseline"/>
          <w:lang w:val="en-US" w:eastAsia="zh-CN"/>
        </w:rPr>
        <w:t>禹州市应急管理局</w:t>
      </w:r>
    </w:p>
    <w:p>
      <w:pPr>
        <w:pStyle w:val="2"/>
        <w:ind w:firstLine="5120" w:firstLineChars="1600"/>
        <w:rPr>
          <w:rFonts w:hint="default"/>
          <w:lang w:val="en-US" w:eastAsia="zh-CN"/>
        </w:rPr>
      </w:pPr>
      <w:r>
        <w:rPr>
          <w:rFonts w:hint="eastAsia" w:ascii="Times New Roman" w:cs="Times New Roman"/>
          <w:sz w:val="32"/>
          <w:szCs w:val="32"/>
          <w:vertAlign w:val="baseline"/>
          <w:lang w:val="en-US" w:eastAsia="zh-CN"/>
        </w:rPr>
        <w:t>2022年8月22日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WEwNDhmOWU5Yjc1OTI5NDE4YzJkYjdkNzE4ZGYifQ=="/>
  </w:docVars>
  <w:rsids>
    <w:rsidRoot w:val="411206A3"/>
    <w:rsid w:val="008B73C2"/>
    <w:rsid w:val="02DB66B3"/>
    <w:rsid w:val="09526D80"/>
    <w:rsid w:val="12A72667"/>
    <w:rsid w:val="19993145"/>
    <w:rsid w:val="274005DE"/>
    <w:rsid w:val="2B6232E3"/>
    <w:rsid w:val="339617F0"/>
    <w:rsid w:val="34DB5E65"/>
    <w:rsid w:val="3B2C6AD0"/>
    <w:rsid w:val="3C700823"/>
    <w:rsid w:val="3DBB238D"/>
    <w:rsid w:val="3E450821"/>
    <w:rsid w:val="3FEE6808"/>
    <w:rsid w:val="411206A3"/>
    <w:rsid w:val="46BB4DC9"/>
    <w:rsid w:val="48687AEA"/>
    <w:rsid w:val="48CD3E24"/>
    <w:rsid w:val="4B9C55AC"/>
    <w:rsid w:val="51005A49"/>
    <w:rsid w:val="51D43E2B"/>
    <w:rsid w:val="51E205A4"/>
    <w:rsid w:val="53846A07"/>
    <w:rsid w:val="5838377D"/>
    <w:rsid w:val="64AD2180"/>
    <w:rsid w:val="76751EFE"/>
    <w:rsid w:val="79C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semiHidden/>
    <w:qFormat/>
    <w:uiPriority w:val="99"/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1396</Words>
  <Characters>1832</Characters>
  <Lines>0</Lines>
  <Paragraphs>0</Paragraphs>
  <TotalTime>1</TotalTime>
  <ScaleCrop>false</ScaleCrop>
  <LinksUpToDate>false</LinksUpToDate>
  <CharactersWithSpaces>1937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2022-08-21T23:47:00Z</dcterms:created>
  <dc:creator>Administrator</dc:creator>
  <cp:lastModifiedBy>Administrator</cp:lastModifiedBy>
  <cp:lastPrinted>2022-08-22T08:17:00Z</cp:lastPrinted>
  <dcterms:modified xsi:type="dcterms:W3CDTF">2022-08-22T08:19:31Z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64C741E1F4E9421489A3B371BAB26117</vt:lpwstr>
  </property>
</Properties>
</file>